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A121A">
      <w:pPr>
        <w:ind w:firstLine="720"/>
        <w:jc w:val="center"/>
        <w:rPr>
          <w:rFonts w:ascii="黑体" w:hAnsi="黑体" w:eastAsia="黑体" w:cs="宋体"/>
          <w:sz w:val="36"/>
          <w:szCs w:val="36"/>
        </w:rPr>
      </w:pPr>
      <w:r>
        <w:rPr>
          <w:rFonts w:hint="eastAsia" w:ascii="黑体" w:hAnsi="黑体" w:eastAsia="黑体"/>
          <w:sz w:val="36"/>
          <w:szCs w:val="36"/>
        </w:rPr>
        <w:t>2023</w:t>
      </w:r>
      <w:r>
        <w:rPr>
          <w:rFonts w:hint="eastAsia" w:ascii="黑体" w:hAnsi="黑体" w:eastAsia="黑体" w:cs="宋体"/>
          <w:sz w:val="36"/>
          <w:szCs w:val="36"/>
        </w:rPr>
        <w:t>年度</w:t>
      </w:r>
      <w:r>
        <w:rPr>
          <w:rFonts w:hint="eastAsia" w:ascii="黑体" w:hAnsi="黑体" w:eastAsia="黑体"/>
          <w:sz w:val="36"/>
          <w:szCs w:val="36"/>
        </w:rPr>
        <w:t>岳阳县委政法委</w:t>
      </w:r>
      <w:r>
        <w:rPr>
          <w:rFonts w:hint="eastAsia" w:ascii="黑体" w:hAnsi="黑体" w:eastAsia="黑体" w:cs="宋体"/>
          <w:sz w:val="36"/>
          <w:szCs w:val="36"/>
        </w:rPr>
        <w:t>整体支出</w:t>
      </w:r>
    </w:p>
    <w:p w14:paraId="50C747E4">
      <w:pPr>
        <w:pStyle w:val="15"/>
        <w:ind w:firstLine="720"/>
        <w:jc w:val="center"/>
        <w:rPr>
          <w:rFonts w:ascii="黑体" w:hAnsi="黑体" w:eastAsia="黑体"/>
          <w:sz w:val="36"/>
          <w:szCs w:val="36"/>
        </w:rPr>
      </w:pPr>
    </w:p>
    <w:p w14:paraId="733B3FDF">
      <w:pPr>
        <w:ind w:firstLine="720"/>
        <w:jc w:val="center"/>
        <w:rPr>
          <w:rFonts w:ascii="黑体" w:hAnsi="黑体" w:eastAsia="黑体"/>
          <w:sz w:val="36"/>
          <w:szCs w:val="36"/>
        </w:rPr>
      </w:pPr>
      <w:r>
        <w:rPr>
          <w:rFonts w:hint="eastAsia" w:ascii="黑体" w:hAnsi="黑体" w:eastAsia="黑体"/>
          <w:sz w:val="36"/>
          <w:szCs w:val="36"/>
        </w:rPr>
        <w:t>绩效自评报告</w:t>
      </w:r>
    </w:p>
    <w:p w14:paraId="19B923F4">
      <w:pPr>
        <w:pStyle w:val="3"/>
        <w:ind w:firstLine="720"/>
        <w:jc w:val="center"/>
        <w:rPr>
          <w:rFonts w:ascii="黑体" w:hAnsi="黑体" w:eastAsia="黑体"/>
          <w:sz w:val="36"/>
          <w:szCs w:val="36"/>
        </w:rPr>
      </w:pPr>
    </w:p>
    <w:p w14:paraId="35AC95D5">
      <w:pPr>
        <w:pStyle w:val="3"/>
        <w:ind w:firstLine="700"/>
      </w:pPr>
    </w:p>
    <w:p w14:paraId="552C6802">
      <w:pPr>
        <w:pStyle w:val="3"/>
        <w:ind w:firstLine="700"/>
      </w:pPr>
    </w:p>
    <w:p w14:paraId="17F2186F">
      <w:pPr>
        <w:pStyle w:val="3"/>
        <w:ind w:firstLine="700"/>
      </w:pPr>
    </w:p>
    <w:p w14:paraId="564B5CC1">
      <w:pPr>
        <w:pStyle w:val="3"/>
        <w:ind w:firstLine="700"/>
      </w:pPr>
    </w:p>
    <w:p w14:paraId="689E01F5">
      <w:pPr>
        <w:pStyle w:val="3"/>
        <w:ind w:firstLine="700"/>
      </w:pPr>
    </w:p>
    <w:p w14:paraId="51610C60">
      <w:pPr>
        <w:pStyle w:val="3"/>
        <w:ind w:firstLine="700"/>
      </w:pPr>
    </w:p>
    <w:p w14:paraId="1BDB21AE">
      <w:pPr>
        <w:pStyle w:val="3"/>
        <w:ind w:firstLine="700"/>
      </w:pPr>
    </w:p>
    <w:p w14:paraId="40E0B757">
      <w:pPr>
        <w:pStyle w:val="3"/>
        <w:ind w:left="0" w:leftChars="0" w:firstLine="0" w:firstLineChars="0"/>
      </w:pPr>
    </w:p>
    <w:p w14:paraId="6D3FFE08">
      <w:pPr>
        <w:pStyle w:val="3"/>
        <w:ind w:firstLine="700"/>
      </w:pPr>
    </w:p>
    <w:p w14:paraId="167E92A8">
      <w:pPr>
        <w:pStyle w:val="3"/>
        <w:ind w:firstLine="700"/>
      </w:pPr>
    </w:p>
    <w:p w14:paraId="1C75E36D">
      <w:pPr>
        <w:pStyle w:val="3"/>
        <w:ind w:firstLine="700"/>
      </w:pPr>
    </w:p>
    <w:p w14:paraId="1110854D">
      <w:pPr>
        <w:pStyle w:val="3"/>
        <w:ind w:firstLine="700"/>
        <w:jc w:val="right"/>
      </w:pPr>
      <w:r>
        <w:rPr>
          <w:rFonts w:hint="eastAsia"/>
        </w:rPr>
        <w:t>部门(单位)名称：</w:t>
      </w:r>
      <w:r>
        <w:rPr>
          <w:rFonts w:hint="eastAsia"/>
          <w:u w:val="single"/>
        </w:rPr>
        <w:t>(盖章)</w:t>
      </w:r>
    </w:p>
    <w:p w14:paraId="4F5F9380">
      <w:pPr>
        <w:pStyle w:val="15"/>
        <w:ind w:firstLine="600"/>
        <w:jc w:val="right"/>
      </w:pPr>
      <w:r>
        <w:rPr>
          <w:rFonts w:hint="eastAsia"/>
        </w:rPr>
        <w:t>2024</w:t>
      </w:r>
      <w:r>
        <w:rPr>
          <w:rFonts w:hint="eastAsia"/>
          <w:b/>
        </w:rPr>
        <w:t>年</w:t>
      </w:r>
      <w:r>
        <w:rPr>
          <w:rFonts w:hint="eastAsia"/>
        </w:rPr>
        <w:t xml:space="preserve"> 6月 17</w:t>
      </w:r>
      <w:r>
        <w:rPr>
          <w:rFonts w:hint="eastAsia"/>
          <w:b/>
        </w:rPr>
        <w:t>日</w:t>
      </w:r>
    </w:p>
    <w:p w14:paraId="663FE85F">
      <w:pPr>
        <w:pStyle w:val="3"/>
        <w:ind w:firstLine="700"/>
        <w:jc w:val="right"/>
      </w:pPr>
      <w:r>
        <w:rPr>
          <w:rFonts w:hint="eastAsia"/>
        </w:rPr>
        <w:t>（</w:t>
      </w:r>
      <w:r>
        <w:t>此页为封面)</w:t>
      </w:r>
    </w:p>
    <w:p w14:paraId="2AEB4D32">
      <w:pPr>
        <w:pStyle w:val="3"/>
        <w:ind w:firstLine="700"/>
        <w:jc w:val="right"/>
      </w:pPr>
    </w:p>
    <w:p w14:paraId="1BAB5BC0">
      <w:pPr>
        <w:pStyle w:val="3"/>
        <w:ind w:firstLine="700"/>
        <w:jc w:val="right"/>
      </w:pPr>
    </w:p>
    <w:p w14:paraId="14B91BF2">
      <w:pPr>
        <w:pStyle w:val="3"/>
        <w:ind w:firstLine="700"/>
      </w:pPr>
    </w:p>
    <w:p w14:paraId="6EDEDB26">
      <w:pPr>
        <w:pStyle w:val="3"/>
        <w:ind w:left="0" w:leftChars="0" w:firstLine="0" w:firstLineChars="0"/>
        <w:rPr>
          <w:b/>
          <w:bCs w:val="0"/>
        </w:rPr>
      </w:pPr>
      <w:r>
        <w:rPr>
          <w:rFonts w:hint="eastAsia"/>
          <w:b/>
          <w:bCs w:val="0"/>
        </w:rPr>
        <w:t>一、部门</w:t>
      </w:r>
      <w:r>
        <w:rPr>
          <w:b/>
          <w:bCs w:val="0"/>
        </w:rPr>
        <w:t>(</w:t>
      </w:r>
      <w:r>
        <w:rPr>
          <w:rFonts w:hint="eastAsia"/>
          <w:b/>
          <w:bCs w:val="0"/>
        </w:rPr>
        <w:t>单位</w:t>
      </w:r>
      <w:r>
        <w:rPr>
          <w:b/>
          <w:bCs w:val="0"/>
        </w:rPr>
        <w:t>)</w:t>
      </w:r>
      <w:r>
        <w:rPr>
          <w:rFonts w:hint="eastAsia"/>
          <w:b/>
          <w:bCs w:val="0"/>
        </w:rPr>
        <w:t>基本情况</w:t>
      </w:r>
    </w:p>
    <w:p w14:paraId="1387C05D">
      <w:r>
        <w:rPr>
          <w:rFonts w:hint="eastAsia"/>
          <w:kern w:val="2"/>
        </w:rPr>
        <w:t>（一）基本情况</w:t>
      </w:r>
    </w:p>
    <w:p w14:paraId="3A3EB941">
      <w:pPr>
        <w:rPr>
          <w:rFonts w:cs="宋体"/>
        </w:rPr>
      </w:pPr>
      <w:r>
        <w:rPr>
          <w:rFonts w:hint="eastAsia"/>
        </w:rPr>
        <w:t>政法委的职责职能是深入贯彻习近平新时代中国特色社会主义思想，深入贯彻党的路线方针政策和决策部署，统一政法各部门思想和行动，坚持党对政法工作的绝对领导，坚决维护党中央权威和集中统一领导。深入贯彻党中央决定和省委、市委、县委决策，对全县政法工作研究提出全局性部署，推进平安岳阳县、法治岳阳县建设，加强过硬队伍建设，深化智能化建设，坚决维护国家政治安全、确保社会大局稳定、促进社会公平正义、保障人民安居乐业。</w:t>
      </w:r>
      <w:r>
        <w:rPr>
          <w:rFonts w:hint="eastAsia" w:cs="宋体"/>
        </w:rPr>
        <w:t>了解掌握和分析研判政法工作情况动态，分析社会稳定形势，创新完善多部门参与的综治维稳工作机制，协调推动预防、化解影响稳定的社会矛盾和风险，协调应对和处置重大突发事件。加强对政法工作的督查，统筹协调社会治安综合治理、维护社会稳定、反邪教有关法律法规政策的实施工作。组织开展政法领域的调查研究，研究拟订政法工作的重要措施，及时向县委提出建议。掌握分析政法舆情动态，指导协调政法部门媒体网络宣传工作，指导政法部门做好涉及政法工作的重大宣传工作。监督和支持政法各部门依法行使职权，指导和协调政法各部门密切配合，研究和协调重大、疑难案件，推进严格执法、公正司法。组织研究政法改革中带有方向性、倾向性和普遍性的重大问题，深化政法改革。指导推动政法系统党的建设和政法队伍建设。完成县委交办的其他任务。</w:t>
      </w:r>
    </w:p>
    <w:p w14:paraId="32EFC6C5">
      <w:pPr>
        <w:pStyle w:val="7"/>
        <w:shd w:val="clear" w:color="auto" w:fill="FFFFFF"/>
        <w:spacing w:before="0" w:beforeAutospacing="0" w:after="0" w:afterAutospacing="0"/>
        <w:ind w:firstLine="480"/>
        <w:jc w:val="both"/>
        <w:rPr>
          <w:rFonts w:ascii="仿宋" w:hAnsi="仿宋" w:eastAsia="仿宋" w:cs="仿宋_GB2312"/>
          <w:b/>
          <w:color w:val="555555"/>
          <w:sz w:val="36"/>
          <w:szCs w:val="36"/>
        </w:rPr>
      </w:pPr>
      <w:r>
        <w:rPr>
          <w:rFonts w:hint="eastAsia" w:ascii="仿宋" w:hAnsi="仿宋" w:eastAsia="仿宋" w:cs="仿宋_GB2312"/>
          <w:b/>
          <w:color w:val="555555"/>
          <w:sz w:val="36"/>
          <w:szCs w:val="36"/>
        </w:rPr>
        <w:t>（二）机构设置</w:t>
      </w:r>
    </w:p>
    <w:p w14:paraId="2D6FBB3B">
      <w:r>
        <w:rPr>
          <w:rFonts w:hint="eastAsia"/>
        </w:rPr>
        <w:t>内设办公室（加挂政策研究室、宣传教育室）、政工室、维稳指导室（加挂政治安全室反邪教协调室）、综治督导室（加挂基层社会治理室）、执法监督室（加挂法治室、扫黑除恶指导室）。编制数</w:t>
      </w:r>
      <w:r>
        <w:rPr>
          <w:rFonts w:hint="eastAsia"/>
          <w:lang w:val="en-US" w:eastAsia="zh-CN"/>
        </w:rPr>
        <w:t>20</w:t>
      </w:r>
      <w:r>
        <w:rPr>
          <w:rFonts w:hint="eastAsia"/>
        </w:rPr>
        <w:t>人，</w:t>
      </w:r>
      <w:r>
        <w:rPr>
          <w:rFonts w:hint="eastAsia"/>
          <w:kern w:val="2"/>
          <w:shd w:val="clear" w:color="auto" w:fill="FFFFFF"/>
        </w:rPr>
        <w:t>实有人员</w:t>
      </w:r>
      <w:r>
        <w:rPr>
          <w:rFonts w:hint="eastAsia"/>
          <w:shd w:val="clear" w:color="auto" w:fill="FFFFFF"/>
          <w:lang w:val="en-US" w:eastAsia="zh-CN"/>
        </w:rPr>
        <w:t>20</w:t>
      </w:r>
      <w:r>
        <w:rPr>
          <w:rFonts w:hint="eastAsia"/>
          <w:kern w:val="2"/>
          <w:shd w:val="clear" w:color="auto" w:fill="FFFFFF"/>
          <w:lang w:eastAsia="zh-CN"/>
        </w:rPr>
        <w:t>人</w:t>
      </w:r>
      <w:r>
        <w:rPr>
          <w:rFonts w:hint="eastAsia"/>
          <w:kern w:val="2"/>
          <w:shd w:val="clear" w:color="auto" w:fill="FFFFFF"/>
        </w:rPr>
        <w:t>。</w:t>
      </w:r>
    </w:p>
    <w:p w14:paraId="2BDAF08A">
      <w:pPr>
        <w:ind w:left="0" w:leftChars="0" w:firstLine="0" w:firstLineChars="0"/>
        <w:rPr>
          <w:b/>
          <w:bCs w:val="0"/>
        </w:rPr>
      </w:pPr>
      <w:r>
        <w:rPr>
          <w:rFonts w:hint="eastAsia"/>
          <w:b/>
          <w:bCs w:val="0"/>
        </w:rPr>
        <w:t>二、一般公共预算支出情况</w:t>
      </w:r>
    </w:p>
    <w:p w14:paraId="20C5EAD1">
      <w:pPr>
        <w:ind w:firstLine="602"/>
        <w:rPr>
          <w:kern w:val="2"/>
        </w:rPr>
      </w:pPr>
      <w:r>
        <w:rPr>
          <w:rFonts w:hint="eastAsia"/>
          <w:b/>
        </w:rPr>
        <w:t>（一）</w:t>
      </w:r>
      <w:r>
        <w:rPr>
          <w:rFonts w:hint="eastAsia"/>
        </w:rPr>
        <w:t>基本支出情况</w:t>
      </w:r>
    </w:p>
    <w:p w14:paraId="2D7A983A">
      <w:r>
        <w:rPr>
          <w:rFonts w:hint="eastAsia"/>
        </w:rPr>
        <w:t>2023年政法委基本支出34</w:t>
      </w:r>
      <w:r>
        <w:rPr>
          <w:rFonts w:hint="eastAsia"/>
          <w:lang w:val="en-US" w:eastAsia="zh-CN"/>
        </w:rPr>
        <w:t>4.87</w:t>
      </w:r>
      <w:r>
        <w:rPr>
          <w:rFonts w:hint="eastAsia"/>
        </w:rPr>
        <w:t>万元，主要用于人员经费支出和日常公用经费支出；</w:t>
      </w:r>
      <w:r>
        <w:t xml:space="preserve"> </w:t>
      </w:r>
      <w:r>
        <w:rPr>
          <w:rFonts w:hint="eastAsia"/>
        </w:rPr>
        <w:t>包括人员支出255.61万元，公用支出</w:t>
      </w:r>
      <w:r>
        <w:rPr>
          <w:rFonts w:hint="eastAsia"/>
          <w:lang w:val="en-US" w:eastAsia="zh-CN"/>
        </w:rPr>
        <w:t>89.26</w:t>
      </w:r>
      <w:r>
        <w:rPr>
          <w:rFonts w:hint="eastAsia"/>
        </w:rPr>
        <w:t>万元。其中“三公”经费合计1.79万元，包括公务接待费1.79万元。</w:t>
      </w:r>
    </w:p>
    <w:p w14:paraId="2D3C8848">
      <w:pPr>
        <w:ind w:firstLine="602"/>
      </w:pPr>
      <w:r>
        <w:rPr>
          <w:rFonts w:hint="eastAsia"/>
          <w:b/>
        </w:rPr>
        <w:t>（二）</w:t>
      </w:r>
      <w:r>
        <w:rPr>
          <w:rFonts w:hint="eastAsia"/>
        </w:rPr>
        <w:t>项目支出情况</w:t>
      </w:r>
    </w:p>
    <w:p w14:paraId="34A616D4">
      <w:r>
        <w:rPr>
          <w:rFonts w:hint="eastAsia"/>
        </w:rPr>
        <w:t>2023年项目支出保平安经费</w:t>
      </w:r>
      <w:r>
        <w:rPr>
          <w:rFonts w:hint="eastAsia"/>
          <w:lang w:val="en-US" w:eastAsia="zh-CN"/>
        </w:rPr>
        <w:t>667.95</w:t>
      </w:r>
      <w:r>
        <w:rPr>
          <w:rFonts w:hint="eastAsia"/>
        </w:rPr>
        <w:t>万元，主要用于平安建设、扫黑除恶、网格化建设、综治民调、肇事肇祸精神病患者管控、涉法涉诉信访积案化解、重症艾滋病收治等。</w:t>
      </w:r>
    </w:p>
    <w:p w14:paraId="4C9A3BB8">
      <w:pPr>
        <w:ind w:left="0" w:leftChars="0" w:firstLine="0" w:firstLineChars="0"/>
        <w:rPr>
          <w:b/>
        </w:rPr>
      </w:pPr>
      <w:r>
        <w:rPr>
          <w:rFonts w:hint="eastAsia"/>
        </w:rPr>
        <w:t>三、</w:t>
      </w:r>
      <w:r>
        <w:rPr>
          <w:rFonts w:hint="eastAsia"/>
          <w:b/>
        </w:rPr>
        <w:t>政府性基金预算支出情况</w:t>
      </w:r>
    </w:p>
    <w:p w14:paraId="5EF34988">
      <w:pPr>
        <w:ind w:firstLine="750" w:firstLineChars="250"/>
        <w:rPr>
          <w:b/>
        </w:rPr>
      </w:pPr>
      <w:r>
        <w:rPr>
          <w:rFonts w:hint="eastAsia"/>
        </w:rPr>
        <w:t>2023年无政府性基金预算。</w:t>
      </w:r>
    </w:p>
    <w:p w14:paraId="52FB6432">
      <w:pPr>
        <w:ind w:left="0" w:leftChars="0" w:firstLine="0" w:firstLineChars="0"/>
        <w:rPr>
          <w:b/>
          <w:bCs w:val="0"/>
        </w:rPr>
      </w:pPr>
      <w:r>
        <w:rPr>
          <w:rFonts w:hint="eastAsia"/>
          <w:b/>
          <w:bCs w:val="0"/>
        </w:rPr>
        <w:t>四、国有资本经营预算支出情况</w:t>
      </w:r>
    </w:p>
    <w:p w14:paraId="20D37006">
      <w:pPr>
        <w:rPr>
          <w:b/>
        </w:rPr>
      </w:pPr>
      <w:r>
        <w:rPr>
          <w:rFonts w:hint="eastAsia"/>
        </w:rPr>
        <w:t>2023年国有资本经营预算支出30万元，其中对个人和家庭补助生活补助10.38万元，资本性支出大型修缮19.62万元。</w:t>
      </w:r>
    </w:p>
    <w:p w14:paraId="1119155B">
      <w:pPr>
        <w:ind w:left="0" w:leftChars="0" w:firstLine="0" w:firstLineChars="0"/>
        <w:rPr>
          <w:b/>
          <w:bCs w:val="0"/>
        </w:rPr>
      </w:pPr>
      <w:r>
        <w:rPr>
          <w:rFonts w:hint="eastAsia"/>
          <w:b/>
          <w:bCs w:val="0"/>
        </w:rPr>
        <w:t>五、社会保险基金预算支出情况</w:t>
      </w:r>
    </w:p>
    <w:p w14:paraId="09853D10">
      <w:pPr>
        <w:pStyle w:val="2"/>
        <w:rPr>
          <w:rFonts w:ascii="仿宋" w:hAnsi="仿宋" w:eastAsia="仿宋"/>
          <w:b w:val="0"/>
          <w:sz w:val="30"/>
          <w:szCs w:val="30"/>
        </w:rPr>
      </w:pPr>
      <w:r>
        <w:rPr>
          <w:rFonts w:hint="eastAsia"/>
        </w:rPr>
        <w:t xml:space="preserve">   </w:t>
      </w:r>
      <w:r>
        <w:rPr>
          <w:rFonts w:hint="eastAsia" w:ascii="仿宋" w:hAnsi="仿宋" w:eastAsia="仿宋"/>
          <w:sz w:val="30"/>
          <w:szCs w:val="30"/>
        </w:rPr>
        <w:t xml:space="preserve"> </w:t>
      </w:r>
      <w:r>
        <w:rPr>
          <w:rFonts w:hint="eastAsia" w:ascii="仿宋" w:hAnsi="仿宋" w:eastAsia="仿宋"/>
          <w:b w:val="0"/>
          <w:sz w:val="30"/>
          <w:szCs w:val="30"/>
        </w:rPr>
        <w:t>2023年无社会保险基金预算。</w:t>
      </w:r>
    </w:p>
    <w:p w14:paraId="317EBAE8">
      <w:pPr>
        <w:ind w:left="0" w:leftChars="0" w:firstLine="0" w:firstLineChars="0"/>
        <w:rPr>
          <w:b/>
          <w:bCs w:val="0"/>
        </w:rPr>
      </w:pPr>
      <w:r>
        <w:rPr>
          <w:rFonts w:hint="eastAsia"/>
          <w:b/>
          <w:bCs w:val="0"/>
        </w:rPr>
        <w:t>六、部门整体支出绩效情况</w:t>
      </w:r>
    </w:p>
    <w:p w14:paraId="76CF6901">
      <w:pPr>
        <w:spacing w:line="580" w:lineRule="exact"/>
        <w:rPr>
          <w:bCs w:val="0"/>
        </w:rPr>
      </w:pPr>
      <w:r>
        <w:rPr>
          <w:rFonts w:hint="eastAsia"/>
          <w:bCs w:val="0"/>
        </w:rPr>
        <w:t>我委严格按照有关财政资金管理要求，严格执行会计制度和财务制度，依法依规管理财政资金，结合我委的工作实际，对项目开支进行规范化、工作制度化，对经费使用范围的各类支出，按照经费使用审批的程序办理，财务人员做到依法理财，保障账目真实、完整、规范，项目总体执行情况较好，预期的绩效目标基本实现。</w:t>
      </w:r>
    </w:p>
    <w:p w14:paraId="05E9F870">
      <w:pPr>
        <w:spacing w:line="580" w:lineRule="exact"/>
      </w:pPr>
      <w:r>
        <w:rPr>
          <w:rFonts w:hint="eastAsia"/>
        </w:rPr>
        <w:t>2023年来，政法机关认真履行四大职责任务，切实维护社会安全稳定，纵深推进扫黑除恶斗争，着力提升基层社会治理水平，人民群众获得感、幸福感、安全感得到进一步提升。</w:t>
      </w:r>
    </w:p>
    <w:p w14:paraId="548BC58D">
      <w:pPr>
        <w:spacing w:line="580" w:lineRule="exact"/>
        <w:ind w:firstLine="602"/>
      </w:pPr>
      <w:r>
        <w:rPr>
          <w:rFonts w:hint="eastAsia" w:cs="楷体_GB2312"/>
          <w:b/>
        </w:rPr>
        <w:t>1.社会发展大局安全稳定。</w:t>
      </w:r>
      <w:r>
        <w:rPr>
          <w:rFonts w:hint="eastAsia"/>
          <w:b/>
        </w:rPr>
        <w:t>一是信访秩序持续好转。</w:t>
      </w:r>
      <w:r>
        <w:rPr>
          <w:rFonts w:hint="eastAsia"/>
        </w:rPr>
        <w:t>2023年群众进京上访登记7人次，是全市六县（市）中进京访最少的地区。正确引导信访人员依法信访，对于非法信访人员依法处置到位</w:t>
      </w:r>
      <w:r>
        <w:rPr>
          <w:rFonts w:hint="eastAsia"/>
          <w:bCs w:val="0"/>
          <w:color w:val="auto"/>
        </w:rPr>
        <w:t>，</w:t>
      </w:r>
      <w:r>
        <w:rPr>
          <w:rFonts w:hint="eastAsia"/>
        </w:rPr>
        <w:t>依法处置违法信访行为11人次，人民群众依法信访、逐级信访、重复信访实现明显好转。</w:t>
      </w:r>
      <w:r>
        <w:rPr>
          <w:rFonts w:hint="eastAsia"/>
          <w:b/>
        </w:rPr>
        <w:t>二是重大矛盾化解有力。</w:t>
      </w:r>
      <w:r>
        <w:rPr>
          <w:rFonts w:hint="eastAsia"/>
          <w:color w:val="auto"/>
        </w:rPr>
        <w:t>以维稳联席会议为基础，完善维稳工作专班机制，保安全护稳定工作高效推进。深入开展涉稳风险隐患排查化解等行动，按照“三到位一处理”工作要求，</w:t>
      </w:r>
      <w:r>
        <w:rPr>
          <w:rFonts w:hint="eastAsia"/>
          <w:bCs w:val="0"/>
          <w:color w:val="auto"/>
        </w:rPr>
        <w:t>重点群体和重点领域矛盾隐患得到有效稳控。</w:t>
      </w:r>
      <w:r>
        <w:rPr>
          <w:rFonts w:hint="eastAsia"/>
          <w:bCs w:val="0"/>
        </w:rPr>
        <w:t>开展社会稳定风险评估24件</w:t>
      </w:r>
      <w:r>
        <w:rPr>
          <w:rFonts w:hint="eastAsia"/>
          <w:bCs w:val="0"/>
          <w:color w:val="auto"/>
        </w:rPr>
        <w:t>，化解信访积案15件</w:t>
      </w:r>
      <w:r>
        <w:rPr>
          <w:rFonts w:hint="eastAsia"/>
        </w:rPr>
        <w:t>。</w:t>
      </w:r>
      <w:r>
        <w:rPr>
          <w:rFonts w:hint="eastAsia"/>
          <w:b/>
        </w:rPr>
        <w:t>三是公共安全管理有序。</w:t>
      </w:r>
      <w:r>
        <w:rPr>
          <w:rFonts w:hint="eastAsia"/>
        </w:rPr>
        <w:t>道路交通事故亡人事故数39件、死亡39人，分别下降27.8%、29%，道路交通安全风险等级由一类县降为二类县。较大及以上生产安全事故和严重精神障碍患者、社区矫正、重症涉毒等特殊群体肇事肇祸案件“零发生”。</w:t>
      </w:r>
    </w:p>
    <w:p w14:paraId="764DE10A">
      <w:pPr>
        <w:tabs>
          <w:tab w:val="left" w:pos="3990"/>
        </w:tabs>
        <w:spacing w:line="580" w:lineRule="exact"/>
        <w:ind w:firstLine="602"/>
      </w:pPr>
      <w:r>
        <w:rPr>
          <w:rFonts w:hint="eastAsia" w:cs="楷体_GB2312"/>
          <w:b/>
          <w:color w:val="auto"/>
        </w:rPr>
        <w:t>2.社会治安环境持续净化。</w:t>
      </w:r>
      <w:r>
        <w:rPr>
          <w:rFonts w:hint="eastAsia"/>
          <w:b/>
          <w:color w:val="auto"/>
        </w:rPr>
        <w:t>一是整治行动成果突出。</w:t>
      </w:r>
      <w:r>
        <w:rPr>
          <w:rFonts w:hint="eastAsia"/>
          <w:color w:val="auto"/>
        </w:rPr>
        <w:t>扎实开展“净风行动”“利剑护蕾”等专项行动，目前受理行政案件1580起，刑事立案1357起，行政案件办结1292起，刑事破案745起，行政拘留1172人，刑事拘留853人，逮捕直诉1106人，全县命案和重大刑事案件“零发生”。</w:t>
      </w:r>
      <w:r>
        <w:rPr>
          <w:rFonts w:hint="eastAsia"/>
          <w:b/>
          <w:color w:val="auto"/>
        </w:rPr>
        <w:t>二是禁毒工作深入推进。</w:t>
      </w:r>
      <w:r>
        <w:rPr>
          <w:rFonts w:hint="eastAsia"/>
          <w:color w:val="auto"/>
        </w:rPr>
        <w:t>扎实开展“清源断流”“毒驾”等专项行动，办理涉毒刑事案件56起，查处吸毒人员539人，刑拘85人。现有吸毒人数1016人，同比下降32%；社戒社康人数58人，同比下降24.9%，</w:t>
      </w:r>
      <w:r>
        <w:rPr>
          <w:rFonts w:hint="eastAsia"/>
        </w:rPr>
        <w:t>实现了</w:t>
      </w:r>
      <w:r>
        <w:rPr>
          <w:rFonts w:cs="Times New Roman"/>
        </w:rPr>
        <w:t>本地规模制毒、易制毒化学品非法流失、大规模非法种植</w:t>
      </w:r>
      <w:r>
        <w:rPr>
          <w:rFonts w:hint="eastAsia"/>
        </w:rPr>
        <w:t>毒品原植物案件</w:t>
      </w:r>
      <w:r>
        <w:rPr>
          <w:rFonts w:cs="Times New Roman"/>
        </w:rPr>
        <w:t>、</w:t>
      </w:r>
      <w:r>
        <w:rPr>
          <w:rFonts w:hint="eastAsia" w:cs="Times New Roman"/>
        </w:rPr>
        <w:t>人员“脱失管控”、</w:t>
      </w:r>
      <w:r>
        <w:rPr>
          <w:rFonts w:hint="eastAsia"/>
        </w:rPr>
        <w:t>涉毒肇事肇祸案事件和重大涉毒舆情五个</w:t>
      </w:r>
      <w:r>
        <w:rPr>
          <w:rFonts w:cs="Times New Roman"/>
        </w:rPr>
        <w:t>“零发生”</w:t>
      </w:r>
      <w:r>
        <w:rPr>
          <w:rFonts w:hint="eastAsia" w:cs="Times New Roman"/>
        </w:rPr>
        <w:t>，</w:t>
      </w:r>
      <w:r>
        <w:rPr>
          <w:rFonts w:hint="eastAsia"/>
        </w:rPr>
        <w:t>省级县域禁毒工作风险评估降为低风险地区。成立全省首家县级滥用非列管物质戒毒康复机构。</w:t>
      </w:r>
      <w:r>
        <w:rPr>
          <w:rFonts w:hint="eastAsia"/>
          <w:b/>
          <w:color w:val="auto"/>
        </w:rPr>
        <w:t>三是电诈打击效能提升。</w:t>
      </w:r>
      <w:r>
        <w:rPr>
          <w:rFonts w:hint="eastAsia"/>
          <w:color w:val="auto"/>
        </w:rPr>
        <w:t>加大涉诈案件打击力度，抓好反诈宣传教育，全县电信网络诈骗发案316起，同比上升4.6%；损失2452万元，同比下降8.8%；侦破涉电诈案件59起，同比上升180%；刑拘犯罪嫌疑人228人，同比下降3.7%。公安机关</w:t>
      </w:r>
      <w:r>
        <w:rPr>
          <w:rFonts w:hint="eastAsia" w:cs="仿宋"/>
        </w:rPr>
        <w:t>远赴云南成功将30名境外涉诈嫌疑人押解回岳，展现了严厉打击犯罪的态度决心。</w:t>
      </w:r>
      <w:r>
        <w:rPr>
          <w:rFonts w:hint="eastAsia"/>
          <w:b/>
          <w:color w:val="auto"/>
        </w:rPr>
        <w:t>四是“利剑护蕾”推进有力。</w:t>
      </w:r>
      <w:r>
        <w:rPr>
          <w:rFonts w:hint="eastAsia"/>
          <w:color w:val="auto"/>
        </w:rPr>
        <w:t>定期开展联合执法行动，25起现行性侵未成年人案件全部告破，实现发一破一目标。</w:t>
      </w:r>
    </w:p>
    <w:p w14:paraId="76065E63">
      <w:pPr>
        <w:spacing w:line="580" w:lineRule="exact"/>
        <w:ind w:firstLine="602"/>
        <w:rPr>
          <w:rStyle w:val="17"/>
          <w:rFonts w:ascii="仿宋" w:hAnsi="仿宋"/>
          <w:color w:val="222222"/>
          <w:szCs w:val="30"/>
        </w:rPr>
      </w:pPr>
      <w:r>
        <w:rPr>
          <w:rFonts w:hint="eastAsia" w:cs="楷体_GB2312"/>
          <w:b/>
        </w:rPr>
        <w:t>3.基层社会治理效能提升。</w:t>
      </w:r>
      <w:r>
        <w:rPr>
          <w:rFonts w:hint="eastAsia"/>
          <w:b/>
        </w:rPr>
        <w:t>一是纵深推进扫黑除恶斗争。</w:t>
      </w:r>
      <w:r>
        <w:rPr>
          <w:rFonts w:hint="eastAsia"/>
        </w:rPr>
        <w:t>推进涉黑涉恶线索、突出治安问题排查“双背书”制度，推动落实派出所长和村（社区）党组织书记主体责任，镇村社会治安持续好转。</w:t>
      </w:r>
      <w:r>
        <w:rPr>
          <w:rFonts w:hint="eastAsia"/>
          <w:color w:val="auto"/>
        </w:rPr>
        <w:t>加强行业领域整治，重点推进教育、金融放贷、市场流通三大行业领域整治，自然资源、交通运输、工程建</w:t>
      </w:r>
      <w:r>
        <w:rPr>
          <w:rFonts w:hint="eastAsia"/>
        </w:rPr>
        <w:t>设等行业领域持续推进，制发“三书一函”29份，行业治理成效明显。加强机构建设，设立扫黑除恶指导室，实现扫黑除恶实体化运行。</w:t>
      </w:r>
      <w:r>
        <w:rPr>
          <w:rStyle w:val="17"/>
          <w:rFonts w:hint="eastAsia" w:ascii="仿宋" w:hAnsi="仿宋"/>
          <w:b/>
          <w:color w:val="222222"/>
          <w:szCs w:val="30"/>
        </w:rPr>
        <w:t>二是妥善化解各类矛盾纠纷。</w:t>
      </w:r>
      <w:r>
        <w:rPr>
          <w:rFonts w:hint="eastAsia"/>
        </w:rPr>
        <w:t>坚持和发展新时代“枫桥经验”，全面推广“群英断是非”工作法，坚持把推行“群英断是非”工作法与筻口“乡贤理事会”、柏祥“和顺堂”、步仙“罗水亲音”等群众自治、群防群治模式有机结合，相互促进、相互提升，一大批各类矛盾纠纷化解在一线、解决在源头、消除在萌芽状态。县人民法院加强诉源治理，</w:t>
      </w:r>
      <w:r>
        <w:rPr>
          <w:rFonts w:hint="eastAsia"/>
          <w:bCs w:val="0"/>
          <w:kern w:val="2"/>
        </w:rPr>
        <w:t>今年以来，诉前调解累计收案2357件，结案2034件，成功调解1036件，调解成功率50.93%。</w:t>
      </w:r>
      <w:r>
        <w:rPr>
          <w:rFonts w:hint="eastAsia"/>
        </w:rPr>
        <w:t>县妇联创新家庭教育“三强三促”模式在全省推介，荣获全国维护妇女儿童权益先进集体称号。公安机关推动社区警务与社区治理深度融合，通过开展“百万警进千万家”等活动，排查处理各类矛盾纠纷3451起。</w:t>
      </w:r>
      <w:r>
        <w:rPr>
          <w:rFonts w:hint="eastAsia"/>
          <w:b/>
        </w:rPr>
        <w:t>三是深入开展系列平安创建。</w:t>
      </w:r>
      <w:r>
        <w:rPr>
          <w:rStyle w:val="17"/>
          <w:rFonts w:hint="eastAsia" w:ascii="仿宋" w:hAnsi="仿宋"/>
          <w:color w:val="222222"/>
          <w:szCs w:val="30"/>
        </w:rPr>
        <w:t>创建市级平安乡镇、平安村（社区）、平安学校各2个，市级平安单位、平安景区、平安市场、平安交通各1个。</w:t>
      </w:r>
    </w:p>
    <w:p w14:paraId="7F62F96B">
      <w:pPr>
        <w:pStyle w:val="3"/>
        <w:spacing w:line="580" w:lineRule="exact"/>
        <w:ind w:firstLine="602"/>
        <w:rPr>
          <w:rFonts w:cs="仿宋_GB2312"/>
          <w:sz w:val="30"/>
          <w:szCs w:val="30"/>
          <w:shd w:val="clear" w:color="auto" w:fill="FFFFFF"/>
        </w:rPr>
      </w:pPr>
      <w:r>
        <w:rPr>
          <w:rFonts w:hint="eastAsia" w:cs="楷体_GB2312"/>
          <w:b/>
          <w:sz w:val="30"/>
          <w:szCs w:val="30"/>
        </w:rPr>
        <w:t>4.依法治县建设全面推进。</w:t>
      </w:r>
      <w:r>
        <w:rPr>
          <w:rFonts w:hint="eastAsia" w:cs="仿宋_GB2312"/>
          <w:b/>
          <w:sz w:val="30"/>
          <w:szCs w:val="30"/>
        </w:rPr>
        <w:t>一是法治环境不断优化。</w:t>
      </w:r>
      <w:r>
        <w:rPr>
          <w:rStyle w:val="17"/>
          <w:rFonts w:hint="eastAsia" w:ascii="仿宋" w:hAnsi="仿宋" w:cs="仿宋_GB2312"/>
          <w:color w:val="222222"/>
          <w:sz w:val="30"/>
          <w:szCs w:val="30"/>
        </w:rPr>
        <w:t>深入开展优化法治化营商环境“三项行动”，着力</w:t>
      </w:r>
      <w:r>
        <w:rPr>
          <w:rFonts w:hint="eastAsia" w:cs="仿宋_GB2312"/>
          <w:sz w:val="30"/>
          <w:szCs w:val="30"/>
        </w:rPr>
        <w:t>打击整治“三违三强”、欺行霸市等破坏市场经济、</w:t>
      </w:r>
      <w:r>
        <w:rPr>
          <w:rFonts w:hint="eastAsia"/>
          <w:sz w:val="30"/>
          <w:szCs w:val="30"/>
        </w:rPr>
        <w:t>侵犯企业权益</w:t>
      </w:r>
      <w:r>
        <w:rPr>
          <w:rFonts w:hint="eastAsia" w:cs="仿宋_GB2312"/>
          <w:sz w:val="30"/>
          <w:szCs w:val="30"/>
        </w:rPr>
        <w:t>的违法犯罪行为，今年以来，查办“三堵三强”案件4起，其中刑事案件1起，刑事拘留1人、行政处罚7人；行政案件3起，行政拘留7人。为项目建设和企业生产经营保驾护航。</w:t>
      </w:r>
      <w:r>
        <w:rPr>
          <w:rFonts w:hint="eastAsia" w:cs="仿宋_GB2312"/>
          <w:bCs w:val="0"/>
          <w:sz w:val="30"/>
          <w:szCs w:val="30"/>
        </w:rPr>
        <w:t>开展政法机关涉企案件质量评查活动，</w:t>
      </w:r>
      <w:r>
        <w:rPr>
          <w:rFonts w:hint="eastAsia" w:cs="仿宋_GB2312"/>
          <w:sz w:val="30"/>
          <w:szCs w:val="30"/>
        </w:rPr>
        <w:t>评查2020年以来的涉企案件8613件，</w:t>
      </w:r>
      <w:r>
        <w:rPr>
          <w:rFonts w:hint="eastAsia" w:cs="仿宋_GB2312"/>
          <w:bCs w:val="0"/>
          <w:sz w:val="30"/>
          <w:szCs w:val="30"/>
        </w:rPr>
        <w:t>对评查发现的问题列出清单，下达期限整改通知，明确跟踪督办、责任追究等措施，办案质效和执法司法行为进一步规范。</w:t>
      </w:r>
      <w:r>
        <w:rPr>
          <w:rFonts w:hint="eastAsia" w:cs="仿宋_GB2312"/>
          <w:kern w:val="2"/>
          <w:sz w:val="30"/>
          <w:szCs w:val="30"/>
        </w:rPr>
        <w:t>深化府院协调机制，开辟涉企诉讼“立审执破”绿色通道，探索“执破融合”新模式，开展“湘执利剑2023”专项执行行动,执行完毕案件610件，执行完毕率46.89%，执行到位金额2.5亿元，有效提高执行办案质效。</w:t>
      </w:r>
      <w:r>
        <w:rPr>
          <w:rFonts w:hint="eastAsia" w:cs="仿宋_GB2312"/>
          <w:b/>
          <w:sz w:val="30"/>
          <w:szCs w:val="30"/>
        </w:rPr>
        <w:t>二是法治服务全力推进。</w:t>
      </w:r>
      <w:r>
        <w:rPr>
          <w:rFonts w:hint="eastAsia" w:cs="仿宋_GB2312"/>
          <w:sz w:val="30"/>
          <w:szCs w:val="30"/>
        </w:rPr>
        <w:t>成功获评“全省法治政府建设示范县”称号。公安机关积极推行“项目警官”“惠民利企”走访调研服务，结对37家重点企业的37名“项目警官”，走访帮扶企业112次，召开涉企座谈会6次，排查涉企案件109件，排查化解涉企矛盾纠纷87起。县司法局</w:t>
      </w:r>
      <w:r>
        <w:rPr>
          <w:rFonts w:hint="eastAsia" w:cs="仿宋_GB2312"/>
          <w:color w:val="auto"/>
          <w:sz w:val="30"/>
          <w:szCs w:val="30"/>
          <w:shd w:val="clear" w:color="auto" w:fill="FFFFFF"/>
        </w:rPr>
        <w:t>在全市率先开通运行“互联网·无人律所”，为群众线上线下全方位提供了更加便捷高效优质的公共法律服务。积极开展法律援助为民办实事工程，接待群众咨询1759人次，受理法律援助案件186件(其中刑事96件，民事90件)；办理公证900余件，其中涉外、涉港澳台200件。</w:t>
      </w:r>
      <w:r>
        <w:rPr>
          <w:rFonts w:hint="eastAsia" w:cs="仿宋_GB2312"/>
          <w:b/>
          <w:sz w:val="30"/>
          <w:szCs w:val="30"/>
        </w:rPr>
        <w:t>三是法治宣传氛围浓厚。</w:t>
      </w:r>
      <w:r>
        <w:rPr>
          <w:rFonts w:hint="eastAsia" w:cs="仿宋_GB2312"/>
          <w:sz w:val="30"/>
          <w:szCs w:val="30"/>
        </w:rPr>
        <w:t>政法机关认真履行执法司法职能，利用宪法宣传周、农村法治宣传月、青少年法治宣传周、社区法治宣传日、志愿者送法下乡等活动，重点抓好《反有组织犯罪法》、打击整治电信网络诈骗、防性侵等法治宣传教育，推动法治教育进单位、进社区、进学校、进企业近100场次，营造了浓厚的法治宣传氛围。</w:t>
      </w:r>
    </w:p>
    <w:p w14:paraId="20327F01">
      <w:pPr>
        <w:pStyle w:val="3"/>
        <w:spacing w:line="580" w:lineRule="exact"/>
        <w:ind w:firstLine="602"/>
        <w:rPr>
          <w:rFonts w:cs="仿宋_GB2312"/>
          <w:kern w:val="2"/>
          <w:sz w:val="30"/>
          <w:szCs w:val="30"/>
        </w:rPr>
      </w:pPr>
      <w:r>
        <w:rPr>
          <w:rFonts w:hint="eastAsia" w:cs="楷体_GB2312"/>
          <w:b/>
          <w:sz w:val="30"/>
          <w:szCs w:val="30"/>
        </w:rPr>
        <w:t>5.政法队伍形象忠诚过硬。</w:t>
      </w:r>
      <w:r>
        <w:rPr>
          <w:rFonts w:hint="eastAsia" w:cs="仿宋_GB2312"/>
          <w:b/>
          <w:kern w:val="2"/>
          <w:sz w:val="30"/>
          <w:szCs w:val="30"/>
        </w:rPr>
        <w:t>一是</w:t>
      </w:r>
      <w:r>
        <w:rPr>
          <w:rFonts w:hint="eastAsia" w:cs="仿宋_GB2312"/>
          <w:b/>
          <w:sz w:val="30"/>
          <w:szCs w:val="30"/>
        </w:rPr>
        <w:t>政治更加过硬。</w:t>
      </w:r>
      <w:r>
        <w:rPr>
          <w:rFonts w:hint="eastAsia" w:cs="仿宋_GB2312"/>
          <w:kern w:val="2"/>
          <w:sz w:val="30"/>
          <w:szCs w:val="30"/>
        </w:rPr>
        <w:t>政法机关把宣传贯彻党的二十大精神作为当前首要的政治任务，切实用党的二十大精神统一思想、统一意志、统一行动，举办</w:t>
      </w:r>
      <w:r>
        <w:rPr>
          <w:rFonts w:hint="eastAsia" w:cs="仿宋_GB2312"/>
          <w:color w:val="auto"/>
          <w:sz w:val="30"/>
          <w:szCs w:val="30"/>
        </w:rPr>
        <w:t>岳阳县2023年政法系统“绝对忠诚、勤学善谋、执法为民、敢于担当、清正廉洁”作风建设暨政法干警政治轮训，</w:t>
      </w:r>
      <w:r>
        <w:rPr>
          <w:rFonts w:hint="eastAsia" w:cs="仿宋_GB2312"/>
          <w:sz w:val="30"/>
          <w:szCs w:val="30"/>
        </w:rPr>
        <w:t>县委副书记、政法委书记宋华作政治建警报告，县委常委、县纪委书记邓旭旺讲授廉政教育课。</w:t>
      </w:r>
      <w:r>
        <w:rPr>
          <w:rFonts w:hint="eastAsia" w:cs="仿宋_GB2312"/>
          <w:b/>
          <w:kern w:val="2"/>
          <w:sz w:val="30"/>
          <w:szCs w:val="30"/>
        </w:rPr>
        <w:t>二是</w:t>
      </w:r>
      <w:r>
        <w:rPr>
          <w:rFonts w:hint="eastAsia" w:cs="仿宋_GB2312"/>
          <w:b/>
          <w:sz w:val="30"/>
          <w:szCs w:val="30"/>
        </w:rPr>
        <w:t>形象更显挺拔</w:t>
      </w:r>
      <w:r>
        <w:rPr>
          <w:rFonts w:hint="eastAsia" w:cs="仿宋_GB2312"/>
          <w:b/>
          <w:kern w:val="2"/>
          <w:sz w:val="30"/>
          <w:szCs w:val="30"/>
        </w:rPr>
        <w:t>。</w:t>
      </w:r>
      <w:r>
        <w:rPr>
          <w:rFonts w:hint="eastAsia" w:cs="仿宋_GB2312"/>
          <w:kern w:val="2"/>
          <w:sz w:val="30"/>
          <w:szCs w:val="30"/>
        </w:rPr>
        <w:t>加大岗位练兵、专题培训、业务竞赛，严格遵守有关纪律作风要求，树立公正严明的执法司法形象，涌现出了一批政治忠诚、业务精湛、作风严明的政法干警。县人民法院审理的非法捕捞水产品刑事附带民事公益诉讼一案入选最高人民法院指导性案例，县人民检察院郭东波记全国检察机关个人一等功，获评全国民事检察业务能手，曹飞获评全国行政检察业务能手。</w:t>
      </w:r>
    </w:p>
    <w:p w14:paraId="2F8C1D3B">
      <w:pPr>
        <w:ind w:left="0" w:leftChars="0" w:firstLine="0" w:firstLineChars="0"/>
        <w:rPr>
          <w:b/>
          <w:bCs/>
        </w:rPr>
      </w:pPr>
      <w:r>
        <w:rPr>
          <w:rFonts w:hint="eastAsia"/>
          <w:b/>
          <w:bCs/>
        </w:rPr>
        <w:t>七、存在的问题及原因分析</w:t>
      </w:r>
    </w:p>
    <w:p w14:paraId="6C05BDC8">
      <w:r>
        <w:rPr>
          <w:rFonts w:hint="eastAsia"/>
        </w:rPr>
        <w:t>2023年度本委整体支出绩效</w:t>
      </w:r>
      <w:bookmarkStart w:id="0" w:name="_GoBack"/>
      <w:bookmarkEnd w:id="0"/>
      <w:r>
        <w:rPr>
          <w:rFonts w:hint="eastAsia"/>
        </w:rPr>
        <w:t>目标监控任务完成，不存在未完成原因分析。</w:t>
      </w:r>
    </w:p>
    <w:p w14:paraId="6B66BA67">
      <w:pPr>
        <w:ind w:left="0" w:leftChars="0" w:firstLine="0" w:firstLineChars="0"/>
        <w:rPr>
          <w:b/>
          <w:bCs w:val="0"/>
        </w:rPr>
      </w:pPr>
      <w:r>
        <w:rPr>
          <w:rFonts w:hint="eastAsia"/>
          <w:b/>
          <w:bCs w:val="0"/>
        </w:rPr>
        <w:t>八、下一步改进措施</w:t>
      </w:r>
    </w:p>
    <w:p w14:paraId="3C84D7E7">
      <w:pPr>
        <w:rPr>
          <w:b/>
        </w:rPr>
      </w:pPr>
      <w:r>
        <w:rPr>
          <w:rFonts w:hint="eastAsia"/>
        </w:rPr>
        <w:t>1、建立健全财政绩效评价指标体系，加强工作人员的业务培训和财政绩效管理信息化建设，加大绩效评价结果的运用。</w:t>
      </w:r>
    </w:p>
    <w:p w14:paraId="017A8111">
      <w:pPr>
        <w:ind w:firstLine="450" w:firstLineChars="150"/>
      </w:pPr>
      <w:r>
        <w:rPr>
          <w:rFonts w:hint="eastAsia"/>
        </w:rPr>
        <w:t>2、加强监管，做到监管机制环环相扣，不出现断层。</w:t>
      </w:r>
    </w:p>
    <w:p w14:paraId="702E74C1">
      <w:pPr>
        <w:ind w:left="0" w:leftChars="0" w:firstLine="0" w:firstLineChars="0"/>
        <w:rPr>
          <w:b/>
          <w:bCs/>
        </w:rPr>
      </w:pPr>
      <w:r>
        <w:rPr>
          <w:rFonts w:hint="eastAsia"/>
          <w:b/>
          <w:bCs/>
        </w:rPr>
        <w:t>九、部门整体支出绩效自评结果拟应用和公开情况</w:t>
      </w:r>
    </w:p>
    <w:p w14:paraId="02A1A819">
      <w:pPr>
        <w:pStyle w:val="2"/>
        <w:ind w:firstLine="150" w:firstLineChars="50"/>
        <w:rPr>
          <w:rFonts w:ascii="仿宋" w:hAnsi="仿宋" w:eastAsia="仿宋"/>
          <w:b w:val="0"/>
          <w:sz w:val="30"/>
          <w:szCs w:val="30"/>
        </w:rPr>
      </w:pPr>
      <w:r>
        <w:rPr>
          <w:rFonts w:hint="eastAsia" w:ascii="仿宋" w:hAnsi="仿宋" w:eastAsia="仿宋"/>
          <w:b w:val="0"/>
          <w:sz w:val="30"/>
          <w:szCs w:val="30"/>
        </w:rPr>
        <w:t>绩效自评结果已在各项工作中运用且在政府门户网站公示。</w:t>
      </w:r>
    </w:p>
    <w:p w14:paraId="5AFBDC71">
      <w:pPr>
        <w:ind w:left="0" w:leftChars="0" w:firstLine="0" w:firstLineChars="0"/>
        <w:rPr>
          <w:b/>
          <w:bCs w:val="0"/>
        </w:rPr>
      </w:pPr>
      <w:r>
        <w:rPr>
          <w:rFonts w:hint="eastAsia"/>
          <w:b/>
          <w:bCs w:val="0"/>
        </w:rPr>
        <w:t>十、其他需要说明的情况</w:t>
      </w:r>
    </w:p>
    <w:p w14:paraId="441F8118">
      <w:pPr>
        <w:ind w:firstLine="1050" w:firstLineChars="350"/>
      </w:pPr>
      <w:r>
        <w:rPr>
          <w:rFonts w:hint="eastAsia"/>
        </w:rPr>
        <w:t>无</w:t>
      </w:r>
    </w:p>
    <w:p w14:paraId="7C07461F">
      <w:pPr>
        <w:pStyle w:val="2"/>
      </w:pPr>
    </w:p>
    <w:p w14:paraId="6665CE3B"/>
    <w:p w14:paraId="6C8516EE"/>
    <w:p w14:paraId="48A7B8B3">
      <w:r>
        <w:br w:type="page"/>
      </w:r>
    </w:p>
    <w:p w14:paraId="24768033">
      <w:r>
        <w:rPr>
          <w:rFonts w:hint="eastAsia"/>
        </w:rPr>
        <w:t>附件5</w:t>
      </w:r>
    </w:p>
    <w:p w14:paraId="151DEEA2">
      <w:pPr>
        <w:ind w:firstLine="602"/>
        <w:jc w:val="center"/>
        <w:rPr>
          <w:b/>
        </w:rPr>
      </w:pPr>
      <w:r>
        <w:rPr>
          <w:b/>
        </w:rPr>
        <w:t>部门整体支出绩效自评工作考核评分表</w:t>
      </w:r>
    </w:p>
    <w:tbl>
      <w:tblPr>
        <w:tblStyle w:val="14"/>
        <w:tblW w:w="9842" w:type="dxa"/>
        <w:tblInd w:w="-5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6"/>
        <w:gridCol w:w="1157"/>
        <w:gridCol w:w="4957"/>
        <w:gridCol w:w="2982"/>
      </w:tblGrid>
      <w:tr w14:paraId="050B6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 w:hRule="atLeast"/>
        </w:trPr>
        <w:tc>
          <w:tcPr>
            <w:tcW w:w="746" w:type="dxa"/>
            <w:vAlign w:val="center"/>
          </w:tcPr>
          <w:p w14:paraId="50E06411">
            <w:pPr>
              <w:ind w:firstLine="360"/>
              <w:rPr>
                <w:sz w:val="18"/>
                <w:szCs w:val="18"/>
              </w:rPr>
            </w:pPr>
            <w:r>
              <w:rPr>
                <w:rFonts w:hint="eastAsia"/>
                <w:sz w:val="18"/>
                <w:szCs w:val="18"/>
              </w:rPr>
              <w:t>一级</w:t>
            </w:r>
          </w:p>
          <w:p w14:paraId="3DC146E1">
            <w:pPr>
              <w:ind w:firstLine="360"/>
              <w:rPr>
                <w:sz w:val="18"/>
                <w:szCs w:val="18"/>
              </w:rPr>
            </w:pPr>
            <w:r>
              <w:rPr>
                <w:rFonts w:hint="eastAsia"/>
                <w:sz w:val="18"/>
                <w:szCs w:val="18"/>
              </w:rPr>
              <w:t>指标</w:t>
            </w:r>
          </w:p>
        </w:tc>
        <w:tc>
          <w:tcPr>
            <w:tcW w:w="1157" w:type="dxa"/>
            <w:vAlign w:val="center"/>
          </w:tcPr>
          <w:p w14:paraId="5DA95FD2">
            <w:pPr>
              <w:ind w:firstLine="360"/>
              <w:rPr>
                <w:sz w:val="18"/>
                <w:szCs w:val="18"/>
              </w:rPr>
            </w:pPr>
            <w:r>
              <w:rPr>
                <w:rFonts w:hint="eastAsia"/>
                <w:sz w:val="18"/>
                <w:szCs w:val="18"/>
              </w:rPr>
              <w:t>二级指标</w:t>
            </w:r>
          </w:p>
        </w:tc>
        <w:tc>
          <w:tcPr>
            <w:tcW w:w="4957" w:type="dxa"/>
            <w:vAlign w:val="center"/>
          </w:tcPr>
          <w:p w14:paraId="27859299">
            <w:pPr>
              <w:ind w:firstLine="360"/>
              <w:rPr>
                <w:sz w:val="18"/>
                <w:szCs w:val="18"/>
              </w:rPr>
            </w:pPr>
            <w:r>
              <w:rPr>
                <w:rFonts w:hint="eastAsia"/>
                <w:sz w:val="18"/>
                <w:szCs w:val="18"/>
              </w:rPr>
              <w:t>评分标准</w:t>
            </w:r>
          </w:p>
        </w:tc>
        <w:tc>
          <w:tcPr>
            <w:tcW w:w="2982" w:type="dxa"/>
            <w:vAlign w:val="center"/>
          </w:tcPr>
          <w:p w14:paraId="67F7EED4">
            <w:pPr>
              <w:ind w:firstLine="360"/>
              <w:rPr>
                <w:sz w:val="18"/>
                <w:szCs w:val="18"/>
              </w:rPr>
            </w:pPr>
            <w:r>
              <w:rPr>
                <w:rFonts w:hint="eastAsia"/>
                <w:sz w:val="18"/>
                <w:szCs w:val="18"/>
              </w:rPr>
              <w:t>所需佐证材料</w:t>
            </w:r>
          </w:p>
        </w:tc>
      </w:tr>
      <w:tr w14:paraId="4071A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746" w:type="dxa"/>
            <w:vMerge w:val="restart"/>
            <w:tcBorders>
              <w:bottom w:val="nil"/>
            </w:tcBorders>
            <w:vAlign w:val="center"/>
          </w:tcPr>
          <w:p w14:paraId="2C58BF73">
            <w:pPr>
              <w:ind w:firstLine="360"/>
              <w:rPr>
                <w:sz w:val="18"/>
                <w:szCs w:val="18"/>
              </w:rPr>
            </w:pPr>
          </w:p>
          <w:p w14:paraId="7DAA5B0B">
            <w:pPr>
              <w:ind w:firstLine="360"/>
              <w:rPr>
                <w:sz w:val="18"/>
                <w:szCs w:val="18"/>
              </w:rPr>
            </w:pPr>
            <w:r>
              <w:rPr>
                <w:rFonts w:hint="eastAsia"/>
                <w:sz w:val="18"/>
                <w:szCs w:val="18"/>
              </w:rPr>
              <w:t>布置</w:t>
            </w:r>
          </w:p>
          <w:p w14:paraId="4B19DB8D">
            <w:pPr>
              <w:ind w:firstLine="360"/>
              <w:rPr>
                <w:sz w:val="18"/>
                <w:szCs w:val="18"/>
              </w:rPr>
            </w:pPr>
            <w:r>
              <w:rPr>
                <w:rFonts w:hint="eastAsia"/>
                <w:sz w:val="18"/>
                <w:szCs w:val="18"/>
              </w:rPr>
              <w:t>工作</w:t>
            </w:r>
          </w:p>
          <w:p w14:paraId="6144638A">
            <w:pPr>
              <w:ind w:firstLine="360"/>
              <w:rPr>
                <w:sz w:val="18"/>
                <w:szCs w:val="18"/>
              </w:rPr>
            </w:pPr>
            <w:r>
              <w:rPr>
                <w:rFonts w:hint="eastAsia"/>
                <w:sz w:val="18"/>
                <w:szCs w:val="18"/>
              </w:rPr>
              <w:t>10</w:t>
            </w:r>
            <w:r>
              <w:rPr>
                <w:rFonts w:hint="eastAsia" w:cs="宋体"/>
                <w:sz w:val="18"/>
                <w:szCs w:val="18"/>
              </w:rPr>
              <w:t>分</w:t>
            </w:r>
          </w:p>
        </w:tc>
        <w:tc>
          <w:tcPr>
            <w:tcW w:w="1157" w:type="dxa"/>
            <w:vAlign w:val="center"/>
          </w:tcPr>
          <w:p w14:paraId="314DA2BE">
            <w:pPr>
              <w:ind w:firstLine="360"/>
              <w:rPr>
                <w:sz w:val="18"/>
                <w:szCs w:val="18"/>
              </w:rPr>
            </w:pPr>
            <w:r>
              <w:rPr>
                <w:rFonts w:hint="eastAsia"/>
                <w:sz w:val="18"/>
                <w:szCs w:val="18"/>
              </w:rPr>
              <w:t>自评通知(8分)</w:t>
            </w:r>
          </w:p>
        </w:tc>
        <w:tc>
          <w:tcPr>
            <w:tcW w:w="4957" w:type="dxa"/>
            <w:vAlign w:val="center"/>
          </w:tcPr>
          <w:p w14:paraId="1E1B4808">
            <w:pPr>
              <w:ind w:firstLine="360"/>
              <w:rPr>
                <w:sz w:val="18"/>
                <w:szCs w:val="18"/>
              </w:rPr>
            </w:pPr>
            <w:r>
              <w:rPr>
                <w:rFonts w:hint="eastAsia"/>
                <w:sz w:val="18"/>
                <w:szCs w:val="18"/>
              </w:rPr>
              <w:t>1.印发绩效自评通知的得2分，否则不得分</w:t>
            </w:r>
          </w:p>
          <w:p w14:paraId="6DDCE52A">
            <w:pPr>
              <w:ind w:firstLine="360"/>
              <w:rPr>
                <w:sz w:val="18"/>
                <w:szCs w:val="18"/>
              </w:rPr>
            </w:pPr>
            <w:r>
              <w:rPr>
                <w:rFonts w:hint="eastAsia"/>
                <w:sz w:val="18"/>
                <w:szCs w:val="18"/>
              </w:rPr>
              <w:t>2.按照本规程规定，绩效自评通知包括自评范围、自评主要依据、自评主要内容、自评程序和步骤、有关要求等内容，并附有本通知要求的附件的，得6分；否则缺1项扣1分，最多扣6分。</w:t>
            </w:r>
          </w:p>
        </w:tc>
        <w:tc>
          <w:tcPr>
            <w:tcW w:w="2982" w:type="dxa"/>
            <w:vAlign w:val="center"/>
          </w:tcPr>
          <w:p w14:paraId="4B6E0524">
            <w:pPr>
              <w:ind w:firstLine="360"/>
              <w:rPr>
                <w:sz w:val="18"/>
                <w:szCs w:val="18"/>
              </w:rPr>
            </w:pPr>
          </w:p>
          <w:p w14:paraId="41821E23">
            <w:pPr>
              <w:ind w:firstLine="360"/>
              <w:rPr>
                <w:sz w:val="18"/>
                <w:szCs w:val="18"/>
              </w:rPr>
            </w:pPr>
          </w:p>
          <w:p w14:paraId="31A8EC19">
            <w:pPr>
              <w:ind w:firstLine="360"/>
              <w:rPr>
                <w:sz w:val="18"/>
                <w:szCs w:val="18"/>
              </w:rPr>
            </w:pPr>
            <w:r>
              <w:rPr>
                <w:rFonts w:hint="eastAsia"/>
                <w:sz w:val="18"/>
                <w:szCs w:val="18"/>
              </w:rPr>
              <w:t>绩效自评通知盖章的电子版</w:t>
            </w:r>
          </w:p>
        </w:tc>
      </w:tr>
      <w:tr w14:paraId="60736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atLeast"/>
        </w:trPr>
        <w:tc>
          <w:tcPr>
            <w:tcW w:w="746" w:type="dxa"/>
            <w:vMerge w:val="continue"/>
            <w:tcBorders>
              <w:top w:val="nil"/>
            </w:tcBorders>
            <w:vAlign w:val="center"/>
          </w:tcPr>
          <w:p w14:paraId="5F35F367">
            <w:pPr>
              <w:ind w:firstLine="360"/>
              <w:rPr>
                <w:sz w:val="18"/>
                <w:szCs w:val="18"/>
              </w:rPr>
            </w:pPr>
          </w:p>
        </w:tc>
        <w:tc>
          <w:tcPr>
            <w:tcW w:w="1157" w:type="dxa"/>
            <w:vAlign w:val="center"/>
          </w:tcPr>
          <w:p w14:paraId="0815C99B">
            <w:pPr>
              <w:ind w:firstLine="360"/>
              <w:rPr>
                <w:sz w:val="18"/>
                <w:szCs w:val="18"/>
              </w:rPr>
            </w:pPr>
            <w:r>
              <w:rPr>
                <w:rFonts w:hint="eastAsia"/>
                <w:sz w:val="18"/>
                <w:szCs w:val="18"/>
              </w:rPr>
              <w:t>工作小组(2分)</w:t>
            </w:r>
          </w:p>
        </w:tc>
        <w:tc>
          <w:tcPr>
            <w:tcW w:w="4957" w:type="dxa"/>
            <w:vAlign w:val="center"/>
          </w:tcPr>
          <w:p w14:paraId="25E29C58">
            <w:pPr>
              <w:ind w:firstLine="360"/>
              <w:rPr>
                <w:sz w:val="18"/>
                <w:szCs w:val="18"/>
              </w:rPr>
            </w:pPr>
          </w:p>
          <w:p w14:paraId="74533A56">
            <w:pPr>
              <w:ind w:firstLine="360"/>
              <w:rPr>
                <w:sz w:val="18"/>
                <w:szCs w:val="18"/>
              </w:rPr>
            </w:pPr>
            <w:r>
              <w:rPr>
                <w:rFonts w:hint="eastAsia"/>
                <w:sz w:val="18"/>
                <w:szCs w:val="18"/>
              </w:rPr>
              <w:t>成立绩效自评工作小组的得2分，否则不得分</w:t>
            </w:r>
          </w:p>
        </w:tc>
        <w:tc>
          <w:tcPr>
            <w:tcW w:w="2982" w:type="dxa"/>
            <w:vAlign w:val="center"/>
          </w:tcPr>
          <w:p w14:paraId="436951A5">
            <w:pPr>
              <w:ind w:firstLine="360"/>
              <w:rPr>
                <w:sz w:val="18"/>
                <w:szCs w:val="18"/>
              </w:rPr>
            </w:pPr>
            <w:r>
              <w:rPr>
                <w:rFonts w:hint="eastAsia"/>
                <w:sz w:val="18"/>
                <w:szCs w:val="18"/>
              </w:rPr>
              <w:t>本部门、本单位预算绩效管理领导小组/绩效评价工作小组有关文件盖章的电子版</w:t>
            </w:r>
          </w:p>
        </w:tc>
      </w:tr>
      <w:tr w14:paraId="3D1B0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746" w:type="dxa"/>
            <w:vMerge w:val="restart"/>
            <w:tcBorders>
              <w:bottom w:val="nil"/>
            </w:tcBorders>
            <w:vAlign w:val="center"/>
          </w:tcPr>
          <w:p w14:paraId="3EEAB890">
            <w:pPr>
              <w:ind w:firstLine="360"/>
              <w:rPr>
                <w:sz w:val="18"/>
                <w:szCs w:val="18"/>
              </w:rPr>
            </w:pPr>
          </w:p>
          <w:p w14:paraId="45D4BB9E">
            <w:pPr>
              <w:ind w:firstLine="360"/>
              <w:rPr>
                <w:sz w:val="18"/>
                <w:szCs w:val="18"/>
              </w:rPr>
            </w:pPr>
            <w:r>
              <w:rPr>
                <w:rFonts w:hint="eastAsia"/>
                <w:sz w:val="18"/>
                <w:szCs w:val="18"/>
              </w:rPr>
              <w:t>实施</w:t>
            </w:r>
          </w:p>
          <w:p w14:paraId="64185CF3">
            <w:pPr>
              <w:ind w:firstLine="360"/>
              <w:rPr>
                <w:sz w:val="18"/>
                <w:szCs w:val="18"/>
              </w:rPr>
            </w:pPr>
            <w:r>
              <w:rPr>
                <w:rFonts w:hint="eastAsia"/>
                <w:sz w:val="18"/>
                <w:szCs w:val="18"/>
              </w:rPr>
              <w:t>评价</w:t>
            </w:r>
          </w:p>
          <w:p w14:paraId="626432EC">
            <w:pPr>
              <w:ind w:firstLine="360"/>
              <w:rPr>
                <w:sz w:val="18"/>
                <w:szCs w:val="18"/>
              </w:rPr>
            </w:pPr>
          </w:p>
          <w:p w14:paraId="440EA342">
            <w:pPr>
              <w:ind w:firstLine="360"/>
              <w:rPr>
                <w:sz w:val="18"/>
                <w:szCs w:val="18"/>
              </w:rPr>
            </w:pPr>
            <w:r>
              <w:rPr>
                <w:rFonts w:hint="eastAsia"/>
                <w:sz w:val="18"/>
                <w:szCs w:val="18"/>
              </w:rPr>
              <w:t>20</w:t>
            </w:r>
            <w:r>
              <w:rPr>
                <w:rFonts w:hint="eastAsia" w:cs="宋体"/>
                <w:sz w:val="18"/>
                <w:szCs w:val="18"/>
              </w:rPr>
              <w:t>分</w:t>
            </w:r>
          </w:p>
        </w:tc>
        <w:tc>
          <w:tcPr>
            <w:tcW w:w="1157" w:type="dxa"/>
            <w:vAlign w:val="center"/>
          </w:tcPr>
          <w:p w14:paraId="45F2148C">
            <w:pPr>
              <w:ind w:firstLine="360"/>
              <w:rPr>
                <w:sz w:val="18"/>
                <w:szCs w:val="18"/>
              </w:rPr>
            </w:pPr>
            <w:r>
              <w:rPr>
                <w:rFonts w:hint="eastAsia"/>
                <w:sz w:val="18"/>
                <w:szCs w:val="18"/>
              </w:rPr>
              <w:t>单位自查</w:t>
            </w:r>
          </w:p>
          <w:p w14:paraId="258B143F">
            <w:pPr>
              <w:ind w:firstLine="360"/>
              <w:rPr>
                <w:sz w:val="18"/>
                <w:szCs w:val="18"/>
              </w:rPr>
            </w:pPr>
            <w:r>
              <w:rPr>
                <w:rFonts w:hint="eastAsia"/>
                <w:sz w:val="18"/>
                <w:szCs w:val="18"/>
              </w:rPr>
              <w:t>(10</w:t>
            </w:r>
            <w:r>
              <w:rPr>
                <w:rFonts w:hint="eastAsia" w:cs="宋体"/>
                <w:sz w:val="18"/>
                <w:szCs w:val="18"/>
              </w:rPr>
              <w:t>分</w:t>
            </w:r>
            <w:r>
              <w:rPr>
                <w:rFonts w:hint="eastAsia"/>
                <w:sz w:val="18"/>
                <w:szCs w:val="18"/>
              </w:rPr>
              <w:t>)</w:t>
            </w:r>
          </w:p>
        </w:tc>
        <w:tc>
          <w:tcPr>
            <w:tcW w:w="4957" w:type="dxa"/>
            <w:vAlign w:val="center"/>
          </w:tcPr>
          <w:p w14:paraId="1D5737A8">
            <w:pPr>
              <w:ind w:firstLine="360"/>
              <w:rPr>
                <w:sz w:val="18"/>
                <w:szCs w:val="18"/>
              </w:rPr>
            </w:pPr>
            <w:r>
              <w:rPr>
                <w:rFonts w:hint="eastAsia"/>
                <w:sz w:val="18"/>
                <w:szCs w:val="18"/>
              </w:rPr>
              <w:t>县级预算部门本级和所属单位都要开展绩效自查，转移支付项目单位都要开展绩效自查，各乡镇及办事处都要汇总本区域转移支付情况；以上各项每发现一个单位没有做相应工作的，扣1分，最多扣10分。</w:t>
            </w:r>
          </w:p>
        </w:tc>
        <w:tc>
          <w:tcPr>
            <w:tcW w:w="2982" w:type="dxa"/>
            <w:vAlign w:val="center"/>
          </w:tcPr>
          <w:p w14:paraId="3DB4C492">
            <w:pPr>
              <w:ind w:firstLine="360"/>
              <w:rPr>
                <w:sz w:val="18"/>
                <w:szCs w:val="18"/>
              </w:rPr>
            </w:pPr>
            <w:r>
              <w:rPr>
                <w:rFonts w:hint="eastAsia"/>
                <w:sz w:val="18"/>
                <w:szCs w:val="18"/>
              </w:rPr>
              <w:t>1、转移支付项目单位名称和资金情况清单</w:t>
            </w:r>
          </w:p>
          <w:p w14:paraId="7C3F3A4D">
            <w:pPr>
              <w:ind w:firstLine="360"/>
              <w:rPr>
                <w:sz w:val="18"/>
                <w:szCs w:val="18"/>
              </w:rPr>
            </w:pPr>
            <w:r>
              <w:rPr>
                <w:rFonts w:hint="eastAsia"/>
                <w:sz w:val="18"/>
                <w:szCs w:val="18"/>
              </w:rPr>
              <w:t>2、有转移支付资金的部门汇总情况的盖章PDF版</w:t>
            </w:r>
          </w:p>
        </w:tc>
      </w:tr>
      <w:tr w14:paraId="03338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746" w:type="dxa"/>
            <w:vMerge w:val="continue"/>
            <w:tcBorders>
              <w:top w:val="nil"/>
            </w:tcBorders>
            <w:vAlign w:val="center"/>
          </w:tcPr>
          <w:p w14:paraId="1CE62F2E">
            <w:pPr>
              <w:ind w:firstLine="360"/>
              <w:rPr>
                <w:sz w:val="18"/>
                <w:szCs w:val="18"/>
              </w:rPr>
            </w:pPr>
          </w:p>
        </w:tc>
        <w:tc>
          <w:tcPr>
            <w:tcW w:w="1157" w:type="dxa"/>
            <w:vAlign w:val="center"/>
          </w:tcPr>
          <w:p w14:paraId="2B84A746">
            <w:pPr>
              <w:ind w:firstLine="360"/>
              <w:rPr>
                <w:sz w:val="18"/>
                <w:szCs w:val="18"/>
              </w:rPr>
            </w:pPr>
            <w:r>
              <w:rPr>
                <w:rFonts w:hint="eastAsia"/>
                <w:sz w:val="18"/>
                <w:szCs w:val="18"/>
              </w:rPr>
              <w:t>提交报告</w:t>
            </w:r>
          </w:p>
          <w:p w14:paraId="372F2EA6">
            <w:pPr>
              <w:ind w:firstLine="360"/>
              <w:rPr>
                <w:sz w:val="18"/>
                <w:szCs w:val="18"/>
              </w:rPr>
            </w:pPr>
            <w:r>
              <w:rPr>
                <w:rFonts w:hint="eastAsia"/>
                <w:sz w:val="18"/>
                <w:szCs w:val="18"/>
              </w:rPr>
              <w:t>(10</w:t>
            </w:r>
            <w:r>
              <w:rPr>
                <w:rFonts w:hint="eastAsia" w:cs="宋体"/>
                <w:sz w:val="18"/>
                <w:szCs w:val="18"/>
              </w:rPr>
              <w:t>分</w:t>
            </w:r>
            <w:r>
              <w:rPr>
                <w:rFonts w:hint="eastAsia"/>
                <w:sz w:val="18"/>
                <w:szCs w:val="18"/>
              </w:rPr>
              <w:t>)</w:t>
            </w:r>
          </w:p>
        </w:tc>
        <w:tc>
          <w:tcPr>
            <w:tcW w:w="7939" w:type="dxa"/>
            <w:gridSpan w:val="2"/>
            <w:vAlign w:val="center"/>
          </w:tcPr>
          <w:p w14:paraId="102B1B95">
            <w:pPr>
              <w:ind w:firstLine="360"/>
              <w:rPr>
                <w:sz w:val="18"/>
                <w:szCs w:val="18"/>
              </w:rPr>
            </w:pPr>
            <w:r>
              <w:rPr>
                <w:rFonts w:hint="eastAsia"/>
                <w:sz w:val="18"/>
                <w:szCs w:val="18"/>
              </w:rPr>
              <w:t>按时向县财政局报送报告的得10分；每推迟一个工作日报送报告的扣1分，最多扣10分。</w:t>
            </w:r>
          </w:p>
        </w:tc>
      </w:tr>
      <w:tr w14:paraId="120DF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746" w:type="dxa"/>
            <w:vMerge w:val="restart"/>
            <w:tcBorders>
              <w:bottom w:val="nil"/>
            </w:tcBorders>
            <w:vAlign w:val="center"/>
          </w:tcPr>
          <w:p w14:paraId="22BC5B99">
            <w:pPr>
              <w:ind w:firstLine="360"/>
              <w:rPr>
                <w:sz w:val="18"/>
                <w:szCs w:val="18"/>
              </w:rPr>
            </w:pPr>
          </w:p>
          <w:p w14:paraId="6145937D">
            <w:pPr>
              <w:ind w:firstLine="360"/>
              <w:rPr>
                <w:sz w:val="18"/>
                <w:szCs w:val="18"/>
              </w:rPr>
            </w:pPr>
            <w:r>
              <w:rPr>
                <w:rFonts w:hint="eastAsia"/>
                <w:sz w:val="18"/>
                <w:szCs w:val="18"/>
              </w:rPr>
              <w:t>自评</w:t>
            </w:r>
          </w:p>
          <w:p w14:paraId="66AF198A">
            <w:pPr>
              <w:ind w:firstLine="360"/>
              <w:rPr>
                <w:sz w:val="18"/>
                <w:szCs w:val="18"/>
              </w:rPr>
            </w:pPr>
            <w:r>
              <w:rPr>
                <w:rFonts w:hint="eastAsia"/>
                <w:sz w:val="18"/>
                <w:szCs w:val="18"/>
              </w:rPr>
              <w:t>报告</w:t>
            </w:r>
          </w:p>
          <w:p w14:paraId="1251D988">
            <w:pPr>
              <w:ind w:firstLine="360"/>
              <w:rPr>
                <w:sz w:val="18"/>
                <w:szCs w:val="18"/>
              </w:rPr>
            </w:pPr>
          </w:p>
          <w:p w14:paraId="3C7CF024">
            <w:pPr>
              <w:ind w:firstLine="360"/>
              <w:rPr>
                <w:sz w:val="18"/>
                <w:szCs w:val="18"/>
              </w:rPr>
            </w:pPr>
            <w:r>
              <w:rPr>
                <w:rFonts w:hint="eastAsia"/>
                <w:sz w:val="18"/>
                <w:szCs w:val="18"/>
              </w:rPr>
              <w:t>70</w:t>
            </w:r>
            <w:r>
              <w:rPr>
                <w:rFonts w:hint="eastAsia" w:cs="宋体"/>
                <w:sz w:val="18"/>
                <w:szCs w:val="18"/>
              </w:rPr>
              <w:t>分</w:t>
            </w:r>
          </w:p>
        </w:tc>
        <w:tc>
          <w:tcPr>
            <w:tcW w:w="1157" w:type="dxa"/>
            <w:vAlign w:val="center"/>
          </w:tcPr>
          <w:p w14:paraId="1663B898">
            <w:pPr>
              <w:ind w:firstLine="360"/>
              <w:rPr>
                <w:sz w:val="18"/>
                <w:szCs w:val="18"/>
              </w:rPr>
            </w:pPr>
            <w:r>
              <w:rPr>
                <w:rFonts w:hint="eastAsia"/>
                <w:sz w:val="18"/>
                <w:szCs w:val="18"/>
              </w:rPr>
              <w:t>完整性</w:t>
            </w:r>
          </w:p>
          <w:p w14:paraId="3DB24369">
            <w:pPr>
              <w:ind w:firstLine="360"/>
              <w:rPr>
                <w:sz w:val="18"/>
                <w:szCs w:val="18"/>
              </w:rPr>
            </w:pPr>
            <w:r>
              <w:rPr>
                <w:rFonts w:hint="eastAsia"/>
                <w:sz w:val="18"/>
                <w:szCs w:val="18"/>
              </w:rPr>
              <w:t>(15</w:t>
            </w:r>
            <w:r>
              <w:rPr>
                <w:rFonts w:hint="eastAsia" w:cs="宋体"/>
                <w:sz w:val="18"/>
                <w:szCs w:val="18"/>
              </w:rPr>
              <w:t>分</w:t>
            </w:r>
            <w:r>
              <w:rPr>
                <w:rFonts w:hint="eastAsia"/>
                <w:sz w:val="18"/>
                <w:szCs w:val="18"/>
              </w:rPr>
              <w:t>)</w:t>
            </w:r>
          </w:p>
        </w:tc>
        <w:tc>
          <w:tcPr>
            <w:tcW w:w="7939" w:type="dxa"/>
            <w:gridSpan w:val="2"/>
            <w:vAlign w:val="center"/>
          </w:tcPr>
          <w:p w14:paraId="5EA96ABF">
            <w:pPr>
              <w:ind w:firstLine="360"/>
              <w:rPr>
                <w:sz w:val="18"/>
                <w:szCs w:val="18"/>
              </w:rPr>
            </w:pPr>
            <w:r>
              <w:rPr>
                <w:rFonts w:hint="eastAsia"/>
                <w:sz w:val="18"/>
                <w:szCs w:val="18"/>
              </w:rPr>
              <w:t>1.绩效自评报告正文部分内容齐全的，得8分；否则每少一个部分扣2分，最多扣8分 2.绩效自评报告附件部分内容齐全的，得7分；否则每少一个部分扣2分，最多扣7分</w:t>
            </w:r>
          </w:p>
        </w:tc>
      </w:tr>
      <w:tr w14:paraId="599B6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746" w:type="dxa"/>
            <w:vMerge w:val="continue"/>
            <w:tcBorders>
              <w:top w:val="nil"/>
              <w:bottom w:val="nil"/>
            </w:tcBorders>
            <w:vAlign w:val="center"/>
          </w:tcPr>
          <w:p w14:paraId="0EC13496">
            <w:pPr>
              <w:ind w:firstLine="360"/>
              <w:rPr>
                <w:sz w:val="18"/>
                <w:szCs w:val="18"/>
              </w:rPr>
            </w:pPr>
          </w:p>
        </w:tc>
        <w:tc>
          <w:tcPr>
            <w:tcW w:w="1157" w:type="dxa"/>
            <w:vAlign w:val="center"/>
          </w:tcPr>
          <w:p w14:paraId="7A0BCAD9">
            <w:pPr>
              <w:ind w:firstLine="360"/>
              <w:rPr>
                <w:sz w:val="18"/>
                <w:szCs w:val="18"/>
              </w:rPr>
            </w:pPr>
          </w:p>
          <w:p w14:paraId="6B1B02D1">
            <w:pPr>
              <w:ind w:firstLine="360"/>
              <w:rPr>
                <w:sz w:val="18"/>
                <w:szCs w:val="18"/>
              </w:rPr>
            </w:pPr>
            <w:r>
              <w:rPr>
                <w:rFonts w:hint="eastAsia"/>
                <w:sz w:val="18"/>
                <w:szCs w:val="18"/>
              </w:rPr>
              <w:t>绩效自评表(20分)</w:t>
            </w:r>
          </w:p>
        </w:tc>
        <w:tc>
          <w:tcPr>
            <w:tcW w:w="7939" w:type="dxa"/>
            <w:gridSpan w:val="2"/>
            <w:vAlign w:val="center"/>
          </w:tcPr>
          <w:p w14:paraId="39B89AB7">
            <w:pPr>
              <w:ind w:firstLine="360"/>
              <w:rPr>
                <w:sz w:val="18"/>
                <w:szCs w:val="18"/>
              </w:rPr>
            </w:pPr>
            <w:r>
              <w:rPr>
                <w:rFonts w:hint="eastAsia"/>
                <w:sz w:val="18"/>
                <w:szCs w:val="18"/>
              </w:rPr>
              <w:t>1、部门整体支出和项目支出绩效指标反映产出、效益、服务对象满意度方面的指标和预算执行率的权重符合《岳阳县县级预算部门绩效自评操作规程》要求的，得5分，否则按比例扣除相应的分数。</w:t>
            </w:r>
          </w:p>
          <w:p w14:paraId="61E6C7A6">
            <w:pPr>
              <w:ind w:firstLine="360"/>
              <w:rPr>
                <w:sz w:val="18"/>
                <w:szCs w:val="18"/>
              </w:rPr>
            </w:pPr>
            <w:r>
              <w:rPr>
                <w:rFonts w:hint="eastAsia"/>
                <w:sz w:val="18"/>
                <w:szCs w:val="18"/>
              </w:rPr>
              <w:t>2.部门整体支出和项目支出绩效指标全部细化到三级指标的，得5分；部分细化的，酌情扣分；没有细化的，不得分。</w:t>
            </w:r>
          </w:p>
          <w:p w14:paraId="1C452427">
            <w:pPr>
              <w:ind w:firstLine="360"/>
              <w:rPr>
                <w:sz w:val="18"/>
                <w:szCs w:val="18"/>
              </w:rPr>
            </w:pPr>
            <w:r>
              <w:rPr>
                <w:rFonts w:hint="eastAsia"/>
                <w:sz w:val="18"/>
                <w:szCs w:val="18"/>
              </w:rPr>
              <w:t>3.部门整体支出和项目支出三级绩效指标内涵明确、具体、可衡量的得5分；突出核心指标，精简实用的得3分；指标与部门整体支出和项目支出密切相关，全面反映产出和效益的得2分；否则，每项酌情扣分，最多扣10分。</w:t>
            </w:r>
          </w:p>
        </w:tc>
      </w:tr>
      <w:tr w14:paraId="2398F8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746" w:type="dxa"/>
            <w:vMerge w:val="continue"/>
            <w:tcBorders>
              <w:top w:val="nil"/>
              <w:bottom w:val="nil"/>
            </w:tcBorders>
            <w:vAlign w:val="center"/>
          </w:tcPr>
          <w:p w14:paraId="50EF0A76">
            <w:pPr>
              <w:ind w:firstLine="360"/>
              <w:rPr>
                <w:sz w:val="18"/>
                <w:szCs w:val="18"/>
              </w:rPr>
            </w:pPr>
          </w:p>
        </w:tc>
        <w:tc>
          <w:tcPr>
            <w:tcW w:w="1157" w:type="dxa"/>
            <w:vAlign w:val="center"/>
          </w:tcPr>
          <w:p w14:paraId="0181B43E">
            <w:pPr>
              <w:ind w:firstLine="360"/>
              <w:rPr>
                <w:sz w:val="18"/>
                <w:szCs w:val="18"/>
              </w:rPr>
            </w:pPr>
          </w:p>
          <w:p w14:paraId="72D1CB5A">
            <w:pPr>
              <w:ind w:firstLine="360"/>
              <w:rPr>
                <w:sz w:val="18"/>
                <w:szCs w:val="18"/>
              </w:rPr>
            </w:pPr>
            <w:r>
              <w:rPr>
                <w:rFonts w:hint="eastAsia"/>
                <w:sz w:val="18"/>
                <w:szCs w:val="18"/>
              </w:rPr>
              <w:t>反映问题情况(20分)</w:t>
            </w:r>
          </w:p>
        </w:tc>
        <w:tc>
          <w:tcPr>
            <w:tcW w:w="7939" w:type="dxa"/>
            <w:gridSpan w:val="2"/>
            <w:vAlign w:val="center"/>
          </w:tcPr>
          <w:p w14:paraId="5C28607A">
            <w:pPr>
              <w:ind w:firstLine="360"/>
              <w:rPr>
                <w:sz w:val="18"/>
                <w:szCs w:val="18"/>
              </w:rPr>
            </w:pPr>
            <w:r>
              <w:rPr>
                <w:rFonts w:hint="eastAsia"/>
                <w:sz w:val="18"/>
                <w:szCs w:val="18"/>
              </w:rPr>
              <w:t>从预算和预算绩效管理，部门履职效能，资金分配、使用和管理，资产和财务管理，政府采购等方面归纳问题、分析原因全面的，得20分；反映问题、分析原因较全面的，得16—18 分；反映问题、分析原因不全面的，得13—15分；问题未归纳且过于简单的，得10-12分；只提出资金不足问题的不得分；其他情况酌情扣分。</w:t>
            </w:r>
          </w:p>
        </w:tc>
      </w:tr>
      <w:tr w14:paraId="48725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trPr>
        <w:tc>
          <w:tcPr>
            <w:tcW w:w="746" w:type="dxa"/>
            <w:vMerge w:val="continue"/>
            <w:tcBorders>
              <w:top w:val="nil"/>
            </w:tcBorders>
            <w:vAlign w:val="center"/>
          </w:tcPr>
          <w:p w14:paraId="65E206BF">
            <w:pPr>
              <w:ind w:firstLine="360"/>
              <w:rPr>
                <w:sz w:val="18"/>
                <w:szCs w:val="18"/>
              </w:rPr>
            </w:pPr>
          </w:p>
        </w:tc>
        <w:tc>
          <w:tcPr>
            <w:tcW w:w="1157" w:type="dxa"/>
            <w:vAlign w:val="center"/>
          </w:tcPr>
          <w:p w14:paraId="16F1AB67">
            <w:pPr>
              <w:ind w:firstLine="360"/>
              <w:rPr>
                <w:sz w:val="18"/>
                <w:szCs w:val="18"/>
              </w:rPr>
            </w:pPr>
            <w:r>
              <w:rPr>
                <w:rFonts w:hint="eastAsia"/>
                <w:sz w:val="18"/>
                <w:szCs w:val="18"/>
              </w:rPr>
              <w:t>建议情况</w:t>
            </w:r>
          </w:p>
          <w:p w14:paraId="22009EB7">
            <w:pPr>
              <w:ind w:firstLine="360"/>
              <w:rPr>
                <w:sz w:val="18"/>
                <w:szCs w:val="18"/>
              </w:rPr>
            </w:pPr>
            <w:r>
              <w:rPr>
                <w:rFonts w:hint="eastAsia"/>
                <w:sz w:val="18"/>
                <w:szCs w:val="18"/>
              </w:rPr>
              <w:t>(15</w:t>
            </w:r>
            <w:r>
              <w:rPr>
                <w:rFonts w:hint="eastAsia" w:cs="宋体"/>
                <w:sz w:val="18"/>
                <w:szCs w:val="18"/>
              </w:rPr>
              <w:t>分</w:t>
            </w:r>
            <w:r>
              <w:rPr>
                <w:rFonts w:hint="eastAsia"/>
                <w:sz w:val="18"/>
                <w:szCs w:val="18"/>
              </w:rPr>
              <w:t>)</w:t>
            </w:r>
          </w:p>
        </w:tc>
        <w:tc>
          <w:tcPr>
            <w:tcW w:w="7939" w:type="dxa"/>
            <w:gridSpan w:val="2"/>
            <w:vAlign w:val="center"/>
          </w:tcPr>
          <w:p w14:paraId="23547E25">
            <w:pPr>
              <w:ind w:firstLine="360"/>
              <w:rPr>
                <w:sz w:val="18"/>
                <w:szCs w:val="18"/>
              </w:rPr>
            </w:pPr>
            <w:r>
              <w:rPr>
                <w:rFonts w:hint="eastAsia"/>
                <w:sz w:val="18"/>
                <w:szCs w:val="18"/>
              </w:rPr>
              <w:t>建议与问题对应且全面的得15分，建议比较全面的得12—14分，建议不全面的得9—11  分，建议过于简单的得6—8分，只提出加大资金投入建议的不得分；其他情况酌情扣分。</w:t>
            </w:r>
          </w:p>
        </w:tc>
      </w:tr>
      <w:tr w14:paraId="0D394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rPr>
        <w:tc>
          <w:tcPr>
            <w:tcW w:w="746" w:type="dxa"/>
            <w:vAlign w:val="center"/>
          </w:tcPr>
          <w:p w14:paraId="25411EA6">
            <w:pPr>
              <w:ind w:firstLine="360"/>
              <w:rPr>
                <w:sz w:val="18"/>
                <w:szCs w:val="18"/>
              </w:rPr>
            </w:pPr>
            <w:r>
              <w:rPr>
                <w:rFonts w:hint="eastAsia"/>
                <w:sz w:val="18"/>
                <w:szCs w:val="18"/>
              </w:rPr>
              <w:t>合计</w:t>
            </w:r>
          </w:p>
        </w:tc>
        <w:tc>
          <w:tcPr>
            <w:tcW w:w="1157" w:type="dxa"/>
            <w:vAlign w:val="center"/>
          </w:tcPr>
          <w:p w14:paraId="2ED5ADA4">
            <w:pPr>
              <w:ind w:firstLine="360"/>
              <w:rPr>
                <w:sz w:val="18"/>
                <w:szCs w:val="18"/>
              </w:rPr>
            </w:pPr>
            <w:r>
              <w:rPr>
                <w:rFonts w:hint="eastAsia"/>
                <w:sz w:val="18"/>
                <w:szCs w:val="18"/>
              </w:rPr>
              <w:t>100</w:t>
            </w:r>
            <w:r>
              <w:rPr>
                <w:rFonts w:hint="eastAsia" w:cs="宋体"/>
                <w:sz w:val="18"/>
                <w:szCs w:val="18"/>
              </w:rPr>
              <w:t>分</w:t>
            </w:r>
          </w:p>
        </w:tc>
        <w:tc>
          <w:tcPr>
            <w:tcW w:w="7939" w:type="dxa"/>
            <w:gridSpan w:val="2"/>
            <w:vAlign w:val="center"/>
          </w:tcPr>
          <w:p w14:paraId="401A1B7D">
            <w:pPr>
              <w:ind w:firstLine="360"/>
              <w:rPr>
                <w:rFonts w:hint="default" w:eastAsia="仿宋"/>
                <w:sz w:val="18"/>
                <w:szCs w:val="18"/>
                <w:lang w:val="en-US" w:eastAsia="zh-CN"/>
              </w:rPr>
            </w:pPr>
            <w:r>
              <w:rPr>
                <w:rFonts w:hint="eastAsia"/>
                <w:sz w:val="18"/>
                <w:szCs w:val="18"/>
                <w:lang w:val="en-US" w:eastAsia="zh-CN"/>
              </w:rPr>
              <w:t>100</w:t>
            </w:r>
          </w:p>
        </w:tc>
      </w:tr>
    </w:tbl>
    <w:p w14:paraId="3CFBA01F">
      <w:pPr>
        <w:ind w:firstLine="0" w:firstLineChars="0"/>
      </w:pPr>
    </w:p>
    <w:p w14:paraId="2E5033B7">
      <w:pPr>
        <w:ind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85DE3">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90E4C">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A3BDC">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00"/>
      </w:pPr>
      <w:r>
        <w:separator/>
      </w:r>
    </w:p>
  </w:footnote>
  <w:footnote w:type="continuationSeparator" w:id="1">
    <w:p>
      <w:pPr>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266CD">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C4DF6">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CC874">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Y5Mjg3ZDFjOTE1OGNmNGQ5ZDk4YzFhMWFhOWQ3MTEifQ=="/>
  </w:docVars>
  <w:rsids>
    <w:rsidRoot w:val="00414758"/>
    <w:rsid w:val="0014418A"/>
    <w:rsid w:val="00160FF3"/>
    <w:rsid w:val="00351F62"/>
    <w:rsid w:val="003B3085"/>
    <w:rsid w:val="003E3A22"/>
    <w:rsid w:val="00414758"/>
    <w:rsid w:val="004B146B"/>
    <w:rsid w:val="00657C84"/>
    <w:rsid w:val="00697376"/>
    <w:rsid w:val="007869A8"/>
    <w:rsid w:val="007E48F3"/>
    <w:rsid w:val="00872BD5"/>
    <w:rsid w:val="008B061E"/>
    <w:rsid w:val="00924C54"/>
    <w:rsid w:val="00A85EA8"/>
    <w:rsid w:val="00B24903"/>
    <w:rsid w:val="00C100E2"/>
    <w:rsid w:val="00C1457E"/>
    <w:rsid w:val="00C4223B"/>
    <w:rsid w:val="00C42971"/>
    <w:rsid w:val="00CF2B50"/>
    <w:rsid w:val="00E12EC7"/>
    <w:rsid w:val="00E71124"/>
    <w:rsid w:val="00E74E94"/>
    <w:rsid w:val="00E97DAF"/>
    <w:rsid w:val="00F33D46"/>
    <w:rsid w:val="6EFC18C0"/>
    <w:rsid w:val="74223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ind w:firstLine="600" w:firstLineChars="200"/>
      <w:jc w:val="both"/>
    </w:pPr>
    <w:rPr>
      <w:rFonts w:ascii="仿宋" w:hAnsi="仿宋" w:eastAsia="仿宋" w:cs="仿宋_GB2312"/>
      <w:bCs/>
      <w:color w:val="000000"/>
      <w:kern w:val="0"/>
      <w:sz w:val="30"/>
      <w:szCs w:val="30"/>
      <w:lang w:val="en-US" w:eastAsia="zh-CN" w:bidi="ar-SA"/>
    </w:rPr>
  </w:style>
  <w:style w:type="paragraph" w:styleId="2">
    <w:name w:val="heading 3"/>
    <w:next w:val="1"/>
    <w:link w:val="12"/>
    <w:qFormat/>
    <w:uiPriority w:val="0"/>
    <w:pPr>
      <w:keepNext/>
      <w:keepLines/>
      <w:widowControl w:val="0"/>
      <w:spacing w:line="360" w:lineRule="auto"/>
      <w:jc w:val="both"/>
      <w:outlineLvl w:val="2"/>
    </w:pPr>
    <w:rPr>
      <w:rFonts w:ascii="Times New Roman" w:hAnsi="Times New Roman" w:eastAsia="楷体_GB2312" w:cs="Times New Roman"/>
      <w:b/>
      <w:kern w:val="0"/>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3"/>
    <w:autoRedefine/>
    <w:semiHidden/>
    <w:qFormat/>
    <w:uiPriority w:val="0"/>
    <w:pPr>
      <w:spacing w:before="20" w:line="222" w:lineRule="auto"/>
    </w:pPr>
    <w:rPr>
      <w:rFonts w:cs="仿宋"/>
      <w:sz w:val="35"/>
      <w:szCs w:val="35"/>
    </w:rPr>
  </w:style>
  <w:style w:type="paragraph" w:styleId="4">
    <w:name w:val="Balloon Text"/>
    <w:basedOn w:val="1"/>
    <w:link w:val="16"/>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unhideWhenUsed/>
    <w:qFormat/>
    <w:uiPriority w:val="0"/>
    <w:pPr>
      <w:spacing w:before="100" w:beforeAutospacing="1" w:after="100" w:afterAutospacing="1"/>
    </w:pPr>
    <w:rPr>
      <w:rFonts w:ascii="宋体" w:hAnsi="宋体" w:eastAsia="宋体" w:cs="宋体"/>
      <w:kern w:val="0"/>
      <w:sz w:val="24"/>
      <w:szCs w:val="24"/>
      <w:lang w:val="en-US" w:eastAsia="zh-CN" w:bidi="ar-SA"/>
    </w:r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标题 3 Char"/>
    <w:basedOn w:val="9"/>
    <w:link w:val="2"/>
    <w:qFormat/>
    <w:uiPriority w:val="0"/>
    <w:rPr>
      <w:rFonts w:ascii="Times New Roman" w:hAnsi="Times New Roman" w:eastAsia="楷体_GB2312" w:cs="Times New Roman"/>
      <w:b/>
      <w:kern w:val="0"/>
      <w:sz w:val="32"/>
      <w:szCs w:val="24"/>
    </w:rPr>
  </w:style>
  <w:style w:type="character" w:customStyle="1" w:styleId="13">
    <w:name w:val="正文文本 Char"/>
    <w:basedOn w:val="9"/>
    <w:link w:val="3"/>
    <w:semiHidden/>
    <w:qFormat/>
    <w:uiPriority w:val="0"/>
    <w:rPr>
      <w:rFonts w:ascii="仿宋" w:hAnsi="仿宋" w:eastAsia="仿宋" w:cs="仿宋"/>
      <w:snapToGrid w:val="0"/>
      <w:color w:val="000000"/>
      <w:kern w:val="0"/>
      <w:sz w:val="35"/>
      <w:szCs w:val="35"/>
      <w:lang w:eastAsia="en-US"/>
    </w:rPr>
  </w:style>
  <w:style w:type="table" w:customStyle="1" w:styleId="14">
    <w:name w:val="Table Normal"/>
    <w:autoRedefine/>
    <w:semiHidden/>
    <w:unhideWhenUsed/>
    <w:qFormat/>
    <w:uiPriority w:val="0"/>
    <w:rPr>
      <w:rFonts w:ascii="Arial" w:hAnsi="Arial" w:cs="Arial"/>
      <w:kern w:val="0"/>
      <w:sz w:val="20"/>
      <w:szCs w:val="20"/>
    </w:rPr>
    <w:tblPr>
      <w:tblCellMar>
        <w:top w:w="0" w:type="dxa"/>
        <w:left w:w="0" w:type="dxa"/>
        <w:bottom w:w="0" w:type="dxa"/>
        <w:right w:w="0" w:type="dxa"/>
      </w:tblCellMar>
    </w:tblPr>
  </w:style>
  <w:style w:type="paragraph" w:styleId="15">
    <w:name w:val="List Paragraph"/>
    <w:basedOn w:val="1"/>
    <w:unhideWhenUsed/>
    <w:qFormat/>
    <w:uiPriority w:val="99"/>
    <w:pPr>
      <w:ind w:firstLine="420"/>
    </w:pPr>
  </w:style>
  <w:style w:type="character" w:customStyle="1" w:styleId="16">
    <w:name w:val="批注框文本 Char"/>
    <w:basedOn w:val="9"/>
    <w:link w:val="4"/>
    <w:semiHidden/>
    <w:qFormat/>
    <w:uiPriority w:val="99"/>
    <w:rPr>
      <w:rFonts w:ascii="Arial" w:hAnsi="Arial" w:eastAsia="Arial" w:cs="Arial"/>
      <w:snapToGrid w:val="0"/>
      <w:color w:val="000000"/>
      <w:kern w:val="0"/>
      <w:sz w:val="18"/>
      <w:szCs w:val="18"/>
      <w:lang w:eastAsia="en-US"/>
    </w:rPr>
  </w:style>
  <w:style w:type="character" w:customStyle="1" w:styleId="17">
    <w:name w:val="NormalCharacter"/>
    <w:link w:val="18"/>
    <w:qFormat/>
    <w:locked/>
    <w:uiPriority w:val="0"/>
    <w:rPr>
      <w:rFonts w:ascii="宋体" w:hAnsi="宋体"/>
      <w:szCs w:val="20"/>
    </w:rPr>
  </w:style>
  <w:style w:type="paragraph" w:customStyle="1" w:styleId="18">
    <w:name w:val="UserStyle_2"/>
    <w:basedOn w:val="1"/>
    <w:link w:val="17"/>
    <w:qFormat/>
    <w:uiPriority w:val="0"/>
    <w:pPr>
      <w:widowControl/>
      <w:spacing w:after="160" w:line="240" w:lineRule="exact"/>
      <w:ind w:firstLine="0" w:firstLineChars="0"/>
      <w:jc w:val="left"/>
    </w:pPr>
    <w:rPr>
      <w:rFonts w:ascii="宋体" w:hAnsi="宋体" w:eastAsiaTheme="minorEastAsia" w:cstheme="minorBidi"/>
      <w:bCs w:val="0"/>
      <w:color w:val="auto"/>
      <w:kern w:val="2"/>
      <w:sz w:val="21"/>
      <w:szCs w:val="20"/>
    </w:rPr>
  </w:style>
  <w:style w:type="paragraph" w:customStyle="1" w:styleId="19">
    <w:name w:val="普通(网站)1"/>
    <w:basedOn w:val="1"/>
    <w:qFormat/>
    <w:uiPriority w:val="0"/>
    <w:pPr>
      <w:spacing w:before="100" w:beforeAutospacing="1" w:after="100" w:afterAutospacing="1"/>
      <w:ind w:firstLine="0" w:firstLineChars="0"/>
      <w:jc w:val="left"/>
    </w:pPr>
    <w:rPr>
      <w:rFonts w:ascii="Calibri" w:hAnsi="Calibri" w:eastAsia="宋体" w:cs="Times New Roman"/>
      <w:bCs w:val="0"/>
      <w:color w:val="auto"/>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4847</Words>
  <Characters>5090</Characters>
  <Lines>38</Lines>
  <Paragraphs>10</Paragraphs>
  <TotalTime>14</TotalTime>
  <ScaleCrop>false</ScaleCrop>
  <LinksUpToDate>false</LinksUpToDate>
  <CharactersWithSpaces>5101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2024-09-27T01:26:00Z</dcterms:created>
  <dc:creator>微软用户</dc:creator>
  <cp:lastModifiedBy>兴哥</cp:lastModifiedBy>
  <dcterms:modified xsi:type="dcterms:W3CDTF">2024-09-27T07:40:38Z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0354F7F5D653471CBD32191F3592D8C8_12</vt:lpwstr>
  </property>
</Properties>
</file>